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734048" w14:textId="0C6E1A28"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852232">
        <w:rPr>
          <w:rFonts w:cs="Arial"/>
          <w:b/>
          <w:bCs/>
          <w:sz w:val="24"/>
          <w:szCs w:val="24"/>
        </w:rPr>
        <w:t>5</w:t>
      </w:r>
      <w:r>
        <w:rPr>
          <w:rFonts w:cs="Arial"/>
          <w:b/>
          <w:bCs/>
          <w:sz w:val="24"/>
          <w:szCs w:val="24"/>
        </w:rPr>
        <w:t>-e</w:t>
      </w:r>
      <w:r w:rsidR="000D5EC9" w:rsidRPr="007D3E81">
        <w:rPr>
          <w:rFonts w:cs="Arial"/>
          <w:b/>
          <w:sz w:val="24"/>
          <w:szCs w:val="24"/>
        </w:rPr>
        <w:tab/>
      </w:r>
      <w:r w:rsidR="00852232">
        <w:rPr>
          <w:b/>
          <w:noProof/>
          <w:sz w:val="24"/>
          <w:szCs w:val="24"/>
        </w:rPr>
        <w:t>R3-22</w:t>
      </w:r>
      <w:r w:rsidR="00D30FC9">
        <w:rPr>
          <w:b/>
          <w:noProof/>
          <w:sz w:val="24"/>
          <w:szCs w:val="24"/>
        </w:rPr>
        <w:t>2226</w:t>
      </w:r>
      <w:bookmarkStart w:id="1" w:name="_GoBack"/>
      <w:bookmarkEnd w:id="1"/>
    </w:p>
    <w:p w14:paraId="77B0581E" w14:textId="459A7E67" w:rsidR="00FB6132" w:rsidRDefault="00065E52" w:rsidP="00FB6132">
      <w:pPr>
        <w:pStyle w:val="CRCoverPage"/>
        <w:tabs>
          <w:tab w:val="right" w:pos="9639"/>
          <w:tab w:val="right" w:pos="13323"/>
        </w:tabs>
        <w:spacing w:after="0"/>
        <w:rPr>
          <w:rFonts w:cs="Arial"/>
          <w:b/>
          <w:sz w:val="24"/>
          <w:szCs w:val="24"/>
        </w:rPr>
      </w:pPr>
      <w:r w:rsidRPr="00065E52">
        <w:rPr>
          <w:rFonts w:cs="Arial"/>
          <w:b/>
          <w:bCs/>
          <w:sz w:val="24"/>
          <w:szCs w:val="24"/>
        </w:rPr>
        <w:t>E-meeting, 21 Feb – 03 Mar 2022</w:t>
      </w:r>
    </w:p>
    <w:p w14:paraId="7475CF16" w14:textId="772949A9" w:rsidR="00910153" w:rsidRPr="00FB6132" w:rsidRDefault="00910153" w:rsidP="00910153">
      <w:pPr>
        <w:pStyle w:val="CRCoverPage"/>
        <w:tabs>
          <w:tab w:val="right" w:pos="9639"/>
          <w:tab w:val="right" w:pos="13323"/>
        </w:tabs>
        <w:spacing w:after="0"/>
        <w:rPr>
          <w:rFonts w:cs="Arial"/>
          <w:b/>
          <w:sz w:val="24"/>
          <w:szCs w:val="24"/>
        </w:rPr>
      </w:pPr>
    </w:p>
    <w:p w14:paraId="66968363" w14:textId="77777777" w:rsidR="0037119B" w:rsidRPr="007D3E81" w:rsidRDefault="0037119B" w:rsidP="0037119B">
      <w:pPr>
        <w:pStyle w:val="ac"/>
        <w:jc w:val="both"/>
        <w:rPr>
          <w:rFonts w:eastAsia="宋体"/>
          <w:b w:val="0"/>
          <w:i w:val="0"/>
          <w:noProof w:val="0"/>
          <w:sz w:val="24"/>
          <w:lang w:eastAsia="zh-CN"/>
        </w:rPr>
      </w:pPr>
    </w:p>
    <w:p w14:paraId="373B6BAB" w14:textId="263BFC41" w:rsidR="0037119B" w:rsidRPr="007D3E81" w:rsidRDefault="0037119B" w:rsidP="0037119B">
      <w:pPr>
        <w:tabs>
          <w:tab w:val="left" w:pos="1985"/>
        </w:tabs>
        <w:ind w:left="1980" w:hanging="1980"/>
        <w:rPr>
          <w:rStyle w:val="af8"/>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D17A3B" w:rsidRPr="00D17A3B">
        <w:rPr>
          <w:rFonts w:ascii="Arial" w:hAnsi="Arial"/>
          <w:sz w:val="24"/>
          <w:lang w:eastAsia="zh-CN"/>
        </w:rPr>
        <w:t xml:space="preserve">Further discussions on </w:t>
      </w:r>
      <w:r w:rsidR="00FB6132" w:rsidRPr="00FB6132">
        <w:rPr>
          <w:rFonts w:ascii="Arial" w:hAnsi="Arial"/>
          <w:sz w:val="24"/>
          <w:lang w:eastAsia="zh-CN"/>
        </w:rPr>
        <w:t>alignment between QoE measurement and MDT measurement</w:t>
      </w:r>
    </w:p>
    <w:p w14:paraId="7D9E5EE0" w14:textId="77777777" w:rsidR="0037119B" w:rsidRPr="007D3E81" w:rsidRDefault="0037119B" w:rsidP="004D5606">
      <w:pPr>
        <w:tabs>
          <w:tab w:val="left" w:pos="1985"/>
        </w:tabs>
        <w:rPr>
          <w:rStyle w:val="af8"/>
          <w:lang w:val="en-GB"/>
        </w:rPr>
      </w:pPr>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3FAABCD3" w14:textId="61D72636"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1010EA" w:rsidRPr="001010EA">
        <w:rPr>
          <w:rFonts w:ascii="Arial" w:hAnsi="Arial"/>
          <w:sz w:val="24"/>
        </w:rPr>
        <w:t>15.4</w:t>
      </w:r>
    </w:p>
    <w:p w14:paraId="141AB176"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535919FA" w14:textId="5DC296EC" w:rsidR="00FB6132" w:rsidRDefault="009F3EBC" w:rsidP="00FB6132">
      <w:pPr>
        <w:jc w:val="both"/>
      </w:pPr>
      <w:bookmarkStart w:id="2" w:name="OLE_LINK1"/>
      <w:bookmarkStart w:id="3" w:name="OLE_LINK2"/>
      <w:r>
        <w:t xml:space="preserve">In the last meeting, RAN3 discussed the </w:t>
      </w:r>
      <w:r w:rsidR="00D17A3B">
        <w:t>a</w:t>
      </w:r>
      <w:r w:rsidR="00D17A3B" w:rsidRPr="00D17A3B">
        <w:t xml:space="preserve">lignment of Radio-Related Measurement and QoE Measurements </w:t>
      </w:r>
      <w:r>
        <w:t>and had the following agreements:</w:t>
      </w:r>
    </w:p>
    <w:tbl>
      <w:tblPr>
        <w:tblStyle w:val="af4"/>
        <w:tblW w:w="0" w:type="auto"/>
        <w:tblLook w:val="04A0" w:firstRow="1" w:lastRow="0" w:firstColumn="1" w:lastColumn="0" w:noHBand="0" w:noVBand="1"/>
      </w:tblPr>
      <w:tblGrid>
        <w:gridCol w:w="9631"/>
      </w:tblGrid>
      <w:tr w:rsidR="00FB6132" w14:paraId="36289CD8" w14:textId="77777777" w:rsidTr="00FB6132">
        <w:tc>
          <w:tcPr>
            <w:tcW w:w="9631" w:type="dxa"/>
          </w:tcPr>
          <w:p w14:paraId="218C10C5"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w:t>
            </w:r>
          </w:p>
          <w:p w14:paraId="156C16AF" w14:textId="77777777" w:rsidR="00852232" w:rsidRPr="003D5520" w:rsidRDefault="00852232" w:rsidP="00852232">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NG-RAN can configure the UE with that associated MDT configuration upon receiving the QMC start indication from the UE</w:t>
            </w:r>
          </w:p>
          <w:p w14:paraId="6EAEE521" w14:textId="77777777" w:rsidR="00852232" w:rsidRPr="003D5520" w:rsidRDefault="00852232" w:rsidP="00852232">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NG-RAN can deactivate the associated MDT configuration upon receiving the QMC end indication from the UE</w:t>
            </w:r>
          </w:p>
          <w:p w14:paraId="46990D9C"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Send LS to RAN2 with the agreement.</w:t>
            </w:r>
          </w:p>
          <w:p w14:paraId="78AC05CA"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There is no need for OAM to include the QoE Reference of a QoE configuration in the MDT configuration sent to NG-RAN</w:t>
            </w:r>
          </w:p>
          <w:p w14:paraId="7A671AB4"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There is no need to send any QoE measurement status information from the gNB-CU-CP to the gNB-CU-UP and gNB-DU for the purpose of QoE–MDT alignment. If an MDT configuration is associated with a QoE configuration, the gNB-CU-CP can activate/deactivate the Immediate MDT configuration in the split RAN entities upon the reception of QMC start/stop indication from the UE.</w:t>
            </w:r>
          </w:p>
          <w:p w14:paraId="60786333"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RAN3 to down select between the following 2 options:</w:t>
            </w:r>
          </w:p>
          <w:p w14:paraId="05828674" w14:textId="77777777" w:rsidR="00852232" w:rsidRPr="003D5520" w:rsidRDefault="00852232" w:rsidP="00852232">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Option 1: gNB-CU-CP can send the MCE address of the QoE configuration to gNB-DU and gNB-CU-UP so that it can forward the correlated MDT reports to the MCE. Agree to the E1/F1 and TS 38.401 TPs.</w:t>
            </w:r>
          </w:p>
          <w:p w14:paraId="7B6CCB55" w14:textId="77777777" w:rsidR="00852232" w:rsidRPr="003D5520" w:rsidRDefault="00852232" w:rsidP="00852232">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Option 2: OAM should make sure that the MCE and TCE have the same IP address for the correlated QoE-MDT configurations</w:t>
            </w:r>
          </w:p>
          <w:p w14:paraId="17C168C1"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Proposal 6: Only QMC start and end timestamps are needed for MDT-QoE correlation. It is not necessary for NG-RAN to accurately timestamp the QoE reports sent in the middle of an ongoing session. MCE can use the reportTime included in the QoE report to know the timestamps of those QoE reports.</w:t>
            </w:r>
          </w:p>
          <w:p w14:paraId="71DC64BD"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There is no need for the NG-RAN to include the UE’s C-RNTI and UE mobility history in the QoE report sent to MCE</w:t>
            </w:r>
          </w:p>
          <w:p w14:paraId="2F11A271"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NG-RAN can add a coarse QMC start/end timestamp autonomously in the QoE report sent to MCE based on QMC start/end indication from UE. If accurate timestamp information is desired, startTime / stopTime already included by UE in the QoE report can be used for correlating MDT-QoE at MCE</w:t>
            </w:r>
          </w:p>
          <w:p w14:paraId="5291A596"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UE is not requested to provide any assistance over Uu to correct the QoE report time stamps e.g., the time elapsed between QoE measurements and the actual time the QoE measurements are reported over RRC, in case of paused QoE scenario</w:t>
            </w:r>
          </w:p>
          <w:p w14:paraId="388A51D8" w14:textId="77777777" w:rsidR="00852232" w:rsidRPr="003D5520" w:rsidRDefault="00852232" w:rsidP="00852232">
            <w:pPr>
              <w:rPr>
                <w:rFonts w:ascii="Calibri" w:hAnsi="Calibri" w:cs="Calibri"/>
                <w:color w:val="00B050"/>
                <w:sz w:val="16"/>
                <w:szCs w:val="16"/>
              </w:rPr>
            </w:pPr>
            <w:r w:rsidRPr="003D5520">
              <w:rPr>
                <w:rFonts w:ascii="Calibri" w:hAnsi="Calibri" w:cs="Calibri"/>
                <w:color w:val="00B050"/>
                <w:sz w:val="16"/>
                <w:szCs w:val="16"/>
              </w:rPr>
              <w:t>There is no need for NG-RAN to include the UE’s serving CGI in the QoE report to uniquely identify the TRSR of the correlated MDT (as the TRSR duplication scenario is a corner case)</w:t>
            </w:r>
          </w:p>
          <w:p w14:paraId="2D72A9F4" w14:textId="77777777" w:rsidR="00852232" w:rsidRPr="003D5520" w:rsidRDefault="00852232" w:rsidP="00852232">
            <w:pPr>
              <w:rPr>
                <w:rFonts w:ascii="Calibri" w:hAnsi="Calibri" w:cs="Calibri"/>
                <w:i/>
                <w:iCs/>
                <w:color w:val="FF0000"/>
                <w:sz w:val="16"/>
                <w:szCs w:val="16"/>
              </w:rPr>
            </w:pPr>
            <w:r w:rsidRPr="003D5520">
              <w:rPr>
                <w:rFonts w:ascii="Calibri" w:hAnsi="Calibri" w:cs="Calibri"/>
                <w:i/>
                <w:iCs/>
                <w:color w:val="FF0000"/>
                <w:sz w:val="16"/>
                <w:szCs w:val="16"/>
              </w:rPr>
              <w:t>FFS whether to support the alignment between s-based QoE and m-based MDT.</w:t>
            </w:r>
          </w:p>
          <w:p w14:paraId="22EED15B" w14:textId="77777777" w:rsidR="00852232" w:rsidRPr="003D5520" w:rsidRDefault="00852232" w:rsidP="00852232">
            <w:pPr>
              <w:rPr>
                <w:rFonts w:ascii="Calibri" w:hAnsi="Calibri" w:cs="Calibri"/>
                <w:i/>
                <w:iCs/>
                <w:color w:val="FF0000"/>
                <w:sz w:val="16"/>
                <w:szCs w:val="16"/>
              </w:rPr>
            </w:pPr>
            <w:r w:rsidRPr="003D5520">
              <w:rPr>
                <w:rFonts w:ascii="Calibri" w:hAnsi="Calibri" w:cs="Calibri"/>
                <w:i/>
                <w:iCs/>
                <w:color w:val="FF0000"/>
                <w:sz w:val="16"/>
                <w:szCs w:val="16"/>
              </w:rPr>
              <w:t>FFS whether to support the scenario where QoE measurement session span across multiple gNBs configured with m-based MDT with different Trace Reference. The following is to be clarified:</w:t>
            </w:r>
          </w:p>
          <w:p w14:paraId="3EE2501F" w14:textId="77777777" w:rsidR="00852232" w:rsidRPr="003D5520" w:rsidRDefault="00852232" w:rsidP="00852232">
            <w:pPr>
              <w:rPr>
                <w:rFonts w:ascii="Calibri" w:hAnsi="Calibri" w:cs="Calibri"/>
                <w:i/>
                <w:iCs/>
                <w:color w:val="FF0000"/>
                <w:sz w:val="16"/>
                <w:szCs w:val="16"/>
              </w:rPr>
            </w:pPr>
            <w:r w:rsidRPr="003D5520">
              <w:rPr>
                <w:rFonts w:ascii="Calibri" w:hAnsi="Calibri" w:cs="Calibri"/>
                <w:i/>
                <w:iCs/>
                <w:color w:val="FF0000"/>
                <w:sz w:val="16"/>
                <w:szCs w:val="16"/>
              </w:rPr>
              <w:t>·         Is this scenario to make sure MCE understands the same UE?</w:t>
            </w:r>
          </w:p>
          <w:p w14:paraId="19037EEA" w14:textId="659D7D7E" w:rsidR="00FB6132" w:rsidRDefault="00852232" w:rsidP="00FA1A26">
            <w:r w:rsidRPr="003D5520">
              <w:rPr>
                <w:rFonts w:ascii="Calibri" w:hAnsi="Calibri" w:cs="Calibri"/>
                <w:i/>
                <w:iCs/>
                <w:color w:val="FF0000"/>
                <w:sz w:val="16"/>
                <w:szCs w:val="16"/>
              </w:rPr>
              <w:t>·         There is no requirement today to ensure an incoming UE (handover from another gNB) is selected for m-based MDT. Isn’t that needed for the above scenario?</w:t>
            </w:r>
          </w:p>
        </w:tc>
      </w:tr>
    </w:tbl>
    <w:p w14:paraId="55746205" w14:textId="77777777" w:rsidR="00FB6132" w:rsidRPr="009F3EBC" w:rsidRDefault="00FB6132" w:rsidP="009F3EBC">
      <w:pPr>
        <w:spacing w:after="120"/>
        <w:jc w:val="both"/>
      </w:pPr>
    </w:p>
    <w:p w14:paraId="2E919AFD" w14:textId="20F92E99" w:rsidR="009F3EBC" w:rsidRDefault="009F3EBC" w:rsidP="009F3EBC">
      <w:pPr>
        <w:spacing w:after="120"/>
        <w:jc w:val="both"/>
        <w:rPr>
          <w:rFonts w:eastAsia="宋体"/>
          <w:lang w:eastAsia="zh-CN"/>
        </w:rPr>
      </w:pPr>
      <w:r>
        <w:t xml:space="preserve">This contribution focuses on the further analysis on </w:t>
      </w:r>
      <w:r w:rsidR="00D17A3B">
        <w:t>the alignment</w:t>
      </w:r>
      <w:r>
        <w:t>.</w:t>
      </w:r>
    </w:p>
    <w:p w14:paraId="2DB03572" w14:textId="77777777" w:rsidR="00006AA0" w:rsidRDefault="003E4051"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75DBC68E" w14:textId="1D7EDB0F" w:rsidR="006E4FF2" w:rsidRDefault="006136FE" w:rsidP="006E4FF2">
      <w:pPr>
        <w:pStyle w:val="afc"/>
        <w:spacing w:before="0" w:beforeAutospacing="0" w:after="180" w:afterAutospacing="0"/>
        <w:rPr>
          <w:rFonts w:cs="Calibri"/>
          <w:color w:val="00B050"/>
          <w:sz w:val="16"/>
          <w:szCs w:val="16"/>
          <w:lang w:eastAsia="en-US"/>
        </w:rPr>
      </w:pPr>
      <w:r>
        <w:rPr>
          <w:rFonts w:ascii="Times New Roman" w:eastAsiaTheme="minorEastAsia" w:hAnsi="Times New Roman" w:hint="eastAsia"/>
          <w:sz w:val="20"/>
          <w:szCs w:val="20"/>
          <w:lang w:val="en-GB"/>
        </w:rPr>
        <w:t>I</w:t>
      </w:r>
      <w:r>
        <w:rPr>
          <w:rFonts w:ascii="Times New Roman" w:eastAsiaTheme="minorEastAsia" w:hAnsi="Times New Roman"/>
          <w:sz w:val="20"/>
          <w:szCs w:val="20"/>
          <w:lang w:val="en-GB"/>
        </w:rPr>
        <w:t>n the last meeting, RAN3 has the following agreements on the alignment between QoE and MDT in the split RAN.</w:t>
      </w:r>
    </w:p>
    <w:p w14:paraId="7D8EAEF9" w14:textId="77777777" w:rsidR="006136FE" w:rsidRPr="003D5520" w:rsidRDefault="006136FE" w:rsidP="006136FE">
      <w:pPr>
        <w:rPr>
          <w:rFonts w:ascii="Calibri" w:hAnsi="Calibri" w:cs="Calibri"/>
          <w:color w:val="00B050"/>
          <w:sz w:val="16"/>
          <w:szCs w:val="16"/>
        </w:rPr>
      </w:pPr>
      <w:r w:rsidRPr="003D5520">
        <w:rPr>
          <w:rFonts w:ascii="Calibri" w:hAnsi="Calibri" w:cs="Calibri"/>
          <w:color w:val="00B050"/>
          <w:sz w:val="16"/>
          <w:szCs w:val="16"/>
        </w:rPr>
        <w:t>There is no need to send any QoE measurement status information from the gNB-CU-CP to the gNB-CU-UP and gNB-DU for the purpose of QoE–MDT alignment. If an MDT configuration is associated with a QoE configuration, the gNB-CU-CP can activate/deactivate the Immediate MDT configuration in the split RAN entities upon the reception of QMC start/stop indication from the UE.</w:t>
      </w:r>
    </w:p>
    <w:p w14:paraId="65DB8D7A" w14:textId="77777777" w:rsidR="006136FE" w:rsidRPr="003D5520" w:rsidRDefault="006136FE" w:rsidP="006136FE">
      <w:pPr>
        <w:rPr>
          <w:rFonts w:ascii="Calibri" w:hAnsi="Calibri" w:cs="Calibri"/>
          <w:color w:val="00B050"/>
          <w:sz w:val="16"/>
          <w:szCs w:val="16"/>
        </w:rPr>
      </w:pPr>
      <w:r w:rsidRPr="003D5520">
        <w:rPr>
          <w:rFonts w:ascii="Calibri" w:hAnsi="Calibri" w:cs="Calibri"/>
          <w:color w:val="00B050"/>
          <w:sz w:val="16"/>
          <w:szCs w:val="16"/>
        </w:rPr>
        <w:t>RAN3 to down select between the following 2 options:</w:t>
      </w:r>
    </w:p>
    <w:p w14:paraId="32CF72D6" w14:textId="5CFB70F5" w:rsidR="006136FE" w:rsidRPr="003D5520" w:rsidRDefault="006136FE" w:rsidP="006136FE">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Option 1: gNB-CU-CP can send the MCE address of the QoE configuration to gNB-DU and gNB-CU-UP so that it can forward the correlated MDT reports to the MCE. Agree to the E1/F1 and TS 38.401 TPs.</w:t>
      </w:r>
    </w:p>
    <w:p w14:paraId="5B755CB3" w14:textId="77777777" w:rsidR="006136FE" w:rsidRPr="003D5520" w:rsidRDefault="006136FE" w:rsidP="006136FE">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Option 2: OAM should make sure that the MCE and TCE have the same IP address for the correlated QoE-MDT configurations</w:t>
      </w:r>
    </w:p>
    <w:p w14:paraId="3BA73578" w14:textId="5DF9B643" w:rsidR="00C47B57" w:rsidRDefault="00D83C81" w:rsidP="006E4FF2">
      <w:pPr>
        <w:pStyle w:val="afc"/>
        <w:spacing w:before="0" w:beforeAutospacing="0" w:after="18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In our understanding, the alignment is one of features</w:t>
      </w:r>
      <w:r w:rsidR="007E2D98">
        <w:rPr>
          <w:rFonts w:ascii="Times New Roman" w:eastAsiaTheme="minorEastAsia" w:hAnsi="Times New Roman"/>
          <w:sz w:val="20"/>
          <w:szCs w:val="20"/>
          <w:lang w:val="en-GB"/>
        </w:rPr>
        <w:t xml:space="preserve"> in the </w:t>
      </w:r>
      <w:r>
        <w:rPr>
          <w:rFonts w:ascii="Times New Roman" w:eastAsiaTheme="minorEastAsia" w:hAnsi="Times New Roman"/>
          <w:sz w:val="20"/>
          <w:szCs w:val="20"/>
          <w:lang w:val="en-GB"/>
        </w:rPr>
        <w:t>QMC. The IP address of the entities for QMC and MDT may be different. We should not limit the IP add</w:t>
      </w:r>
      <w:r w:rsidR="007E2D98">
        <w:rPr>
          <w:rFonts w:ascii="Times New Roman" w:eastAsiaTheme="minorEastAsia" w:hAnsi="Times New Roman"/>
          <w:sz w:val="20"/>
          <w:szCs w:val="20"/>
          <w:lang w:val="en-GB"/>
        </w:rPr>
        <w:t>resses of QMC and MDT</w:t>
      </w:r>
      <w:r>
        <w:rPr>
          <w:rFonts w:ascii="Times New Roman" w:eastAsiaTheme="minorEastAsia" w:hAnsi="Times New Roman"/>
          <w:sz w:val="20"/>
          <w:szCs w:val="20"/>
          <w:lang w:val="en-GB"/>
        </w:rPr>
        <w:t xml:space="preserve"> only for the alignment. Therefore we </w:t>
      </w:r>
      <w:r w:rsidR="00C47B57">
        <w:rPr>
          <w:rFonts w:ascii="Times New Roman" w:eastAsiaTheme="minorEastAsia" w:hAnsi="Times New Roman"/>
          <w:sz w:val="20"/>
          <w:szCs w:val="20"/>
          <w:lang w:val="en-GB"/>
        </w:rPr>
        <w:t>see two options</w:t>
      </w:r>
      <w:r w:rsidR="002F2EAA">
        <w:rPr>
          <w:rFonts w:ascii="Times New Roman" w:eastAsiaTheme="minorEastAsia" w:hAnsi="Times New Roman"/>
          <w:sz w:val="20"/>
          <w:szCs w:val="20"/>
          <w:lang w:val="en-GB"/>
        </w:rPr>
        <w:t xml:space="preserve"> as described above</w:t>
      </w:r>
      <w:r w:rsidR="00C47B57">
        <w:rPr>
          <w:rFonts w:ascii="Times New Roman" w:eastAsiaTheme="minorEastAsia" w:hAnsi="Times New Roman"/>
          <w:sz w:val="20"/>
          <w:szCs w:val="20"/>
          <w:lang w:val="en-GB"/>
        </w:rPr>
        <w:t xml:space="preserve">: </w:t>
      </w:r>
    </w:p>
    <w:p w14:paraId="58F738EC" w14:textId="6445EC87" w:rsidR="00C47B57" w:rsidRDefault="00C545FF" w:rsidP="006E4FF2">
      <w:pPr>
        <w:pStyle w:val="afc"/>
        <w:spacing w:before="0" w:beforeAutospacing="0" w:after="18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With option</w:t>
      </w:r>
      <w:r w:rsidR="002F2EAA">
        <w:rPr>
          <w:rFonts w:ascii="Times New Roman" w:eastAsiaTheme="minorEastAsia" w:hAnsi="Times New Roman"/>
          <w:sz w:val="20"/>
          <w:szCs w:val="20"/>
          <w:lang w:val="en-GB"/>
        </w:rPr>
        <w:t xml:space="preserve"> 1</w:t>
      </w:r>
      <w:r w:rsidR="00DC324D">
        <w:rPr>
          <w:rFonts w:ascii="Times New Roman" w:eastAsiaTheme="minorEastAsia" w:hAnsi="Times New Roman"/>
          <w:sz w:val="20"/>
          <w:szCs w:val="20"/>
          <w:lang w:val="en-GB"/>
        </w:rPr>
        <w:t xml:space="preserve">, CU-UP and DU </w:t>
      </w:r>
      <w:r>
        <w:rPr>
          <w:rFonts w:ascii="Times New Roman" w:eastAsiaTheme="minorEastAsia" w:hAnsi="Times New Roman"/>
          <w:sz w:val="20"/>
          <w:szCs w:val="20"/>
          <w:lang w:val="en-GB"/>
        </w:rPr>
        <w:t>needs</w:t>
      </w:r>
      <w:r w:rsidR="00DC324D">
        <w:rPr>
          <w:rFonts w:ascii="Times New Roman" w:eastAsiaTheme="minorEastAsia" w:hAnsi="Times New Roman"/>
          <w:sz w:val="20"/>
          <w:szCs w:val="20"/>
          <w:lang w:val="en-GB"/>
        </w:rPr>
        <w:t xml:space="preserve"> </w:t>
      </w:r>
      <w:r>
        <w:rPr>
          <w:rFonts w:ascii="Times New Roman" w:eastAsiaTheme="minorEastAsia" w:hAnsi="Times New Roman"/>
          <w:sz w:val="20"/>
          <w:szCs w:val="20"/>
          <w:lang w:val="en-GB"/>
        </w:rPr>
        <w:t xml:space="preserve">to forward the MDT report to another IP address in addition to originally configured TCE address, upon reception of MDT report. There are obvious drawbacks for this option, since </w:t>
      </w:r>
      <w:r w:rsidRPr="00C545FF">
        <w:rPr>
          <w:rFonts w:ascii="Times New Roman" w:eastAsiaTheme="minorEastAsia" w:hAnsi="Times New Roman"/>
          <w:sz w:val="20"/>
          <w:szCs w:val="20"/>
          <w:lang w:val="en-GB"/>
        </w:rPr>
        <w:t xml:space="preserve">MDT measurements </w:t>
      </w:r>
      <w:r>
        <w:rPr>
          <w:rFonts w:ascii="Times New Roman" w:eastAsiaTheme="minorEastAsia" w:hAnsi="Times New Roman"/>
          <w:sz w:val="20"/>
          <w:szCs w:val="20"/>
          <w:lang w:val="en-GB"/>
        </w:rPr>
        <w:t>might be</w:t>
      </w:r>
      <w:r w:rsidRPr="00C545FF">
        <w:rPr>
          <w:rFonts w:ascii="Times New Roman" w:eastAsiaTheme="minorEastAsia" w:hAnsi="Times New Roman"/>
          <w:sz w:val="20"/>
          <w:szCs w:val="20"/>
          <w:lang w:val="en-GB"/>
        </w:rPr>
        <w:t xml:space="preserve"> collected in vain</w:t>
      </w:r>
      <w:r>
        <w:rPr>
          <w:rFonts w:ascii="Times New Roman" w:eastAsiaTheme="minorEastAsia" w:hAnsi="Times New Roman"/>
          <w:sz w:val="20"/>
          <w:szCs w:val="20"/>
          <w:lang w:val="en-GB"/>
        </w:rPr>
        <w:t xml:space="preserve">, due to the fact that </w:t>
      </w:r>
      <w:r w:rsidRPr="00C545FF">
        <w:rPr>
          <w:rFonts w:ascii="Times New Roman" w:eastAsiaTheme="minorEastAsia" w:hAnsi="Times New Roman"/>
          <w:sz w:val="20"/>
          <w:szCs w:val="20"/>
          <w:lang w:val="en-GB"/>
        </w:rPr>
        <w:t xml:space="preserve">QoE measurement </w:t>
      </w:r>
      <w:r>
        <w:rPr>
          <w:rFonts w:ascii="Times New Roman" w:eastAsiaTheme="minorEastAsia" w:hAnsi="Times New Roman"/>
          <w:sz w:val="20"/>
          <w:szCs w:val="20"/>
          <w:lang w:val="en-GB"/>
        </w:rPr>
        <w:t>may</w:t>
      </w:r>
      <w:r w:rsidRPr="00C545FF">
        <w:rPr>
          <w:rFonts w:ascii="Times New Roman" w:eastAsiaTheme="minorEastAsia" w:hAnsi="Times New Roman"/>
          <w:sz w:val="20"/>
          <w:szCs w:val="20"/>
          <w:lang w:val="en-GB"/>
        </w:rPr>
        <w:t xml:space="preserve"> not </w:t>
      </w:r>
      <w:r>
        <w:rPr>
          <w:rFonts w:ascii="Times New Roman" w:eastAsiaTheme="minorEastAsia" w:hAnsi="Times New Roman"/>
          <w:sz w:val="20"/>
          <w:szCs w:val="20"/>
          <w:lang w:val="en-GB"/>
        </w:rPr>
        <w:t xml:space="preserve">have </w:t>
      </w:r>
      <w:r w:rsidRPr="00C545FF">
        <w:rPr>
          <w:rFonts w:ascii="Times New Roman" w:eastAsiaTheme="minorEastAsia" w:hAnsi="Times New Roman"/>
          <w:sz w:val="20"/>
          <w:szCs w:val="20"/>
          <w:lang w:val="en-GB"/>
        </w:rPr>
        <w:t>been started yet</w:t>
      </w:r>
      <w:r>
        <w:rPr>
          <w:rFonts w:ascii="Times New Roman" w:eastAsiaTheme="minorEastAsia" w:hAnsi="Times New Roman"/>
          <w:sz w:val="20"/>
          <w:szCs w:val="20"/>
          <w:lang w:val="en-GB"/>
        </w:rPr>
        <w:t xml:space="preserve"> while MDT report is received; on the hand, </w:t>
      </w:r>
      <w:r w:rsidR="0050568E" w:rsidRPr="0050568E">
        <w:rPr>
          <w:rFonts w:ascii="Times New Roman" w:eastAsiaTheme="minorEastAsia" w:hAnsi="Times New Roman"/>
          <w:sz w:val="20"/>
          <w:szCs w:val="20"/>
          <w:lang w:val="en-GB"/>
        </w:rPr>
        <w:t xml:space="preserve">the mechanisms of MDT measurements </w:t>
      </w:r>
      <w:r w:rsidR="0050568E">
        <w:rPr>
          <w:rFonts w:ascii="Times New Roman" w:eastAsiaTheme="minorEastAsia" w:hAnsi="Times New Roman"/>
          <w:sz w:val="20"/>
          <w:szCs w:val="20"/>
          <w:lang w:val="en-GB"/>
        </w:rPr>
        <w:t>is</w:t>
      </w:r>
      <w:r w:rsidR="0050568E" w:rsidRPr="0050568E">
        <w:rPr>
          <w:rFonts w:ascii="Times New Roman" w:eastAsiaTheme="minorEastAsia" w:hAnsi="Times New Roman"/>
          <w:sz w:val="20"/>
          <w:szCs w:val="20"/>
          <w:lang w:val="en-GB"/>
        </w:rPr>
        <w:t xml:space="preserve"> impacted at RAN side</w:t>
      </w:r>
      <w:r w:rsidR="0050568E">
        <w:rPr>
          <w:rFonts w:ascii="Times New Roman" w:eastAsiaTheme="minorEastAsia" w:hAnsi="Times New Roman"/>
          <w:sz w:val="20"/>
          <w:szCs w:val="20"/>
          <w:lang w:val="en-GB"/>
        </w:rPr>
        <w:t xml:space="preserve"> which should not be a desired </w:t>
      </w:r>
      <w:r w:rsidR="00CF141A">
        <w:rPr>
          <w:rFonts w:ascii="Times New Roman" w:eastAsiaTheme="minorEastAsia" w:hAnsi="Times New Roman"/>
          <w:sz w:val="20"/>
          <w:szCs w:val="20"/>
          <w:lang w:val="en-GB"/>
        </w:rPr>
        <w:t>behaviour.</w:t>
      </w:r>
    </w:p>
    <w:p w14:paraId="75C19122" w14:textId="18596B31" w:rsidR="00CF141A" w:rsidRDefault="002F2EAA" w:rsidP="006E4FF2">
      <w:pPr>
        <w:pStyle w:val="afc"/>
        <w:spacing w:before="0" w:beforeAutospacing="0" w:after="180" w:afterAutospacing="0"/>
        <w:rPr>
          <w:rFonts w:ascii="Times New Roman" w:eastAsiaTheme="minorEastAsia" w:hAnsi="Times New Roman"/>
          <w:sz w:val="20"/>
          <w:szCs w:val="20"/>
          <w:lang w:val="en-GB"/>
        </w:rPr>
      </w:pPr>
      <w:r>
        <w:rPr>
          <w:rFonts w:ascii="Times New Roman" w:eastAsiaTheme="minorEastAsia" w:hAnsi="Times New Roman"/>
          <w:sz w:val="20"/>
          <w:szCs w:val="20"/>
          <w:lang w:val="en-GB"/>
        </w:rPr>
        <w:t>With option 2, i</w:t>
      </w:r>
      <w:r w:rsidR="00CF141A">
        <w:rPr>
          <w:rFonts w:ascii="Times New Roman" w:eastAsiaTheme="minorEastAsia" w:hAnsi="Times New Roman"/>
          <w:sz w:val="20"/>
          <w:szCs w:val="20"/>
          <w:lang w:val="en-GB"/>
        </w:rPr>
        <w:t>t is also obvious that this option is simpler, since it will not cause any further spec impacts.</w:t>
      </w:r>
      <w:r>
        <w:rPr>
          <w:rFonts w:ascii="Times New Roman" w:eastAsiaTheme="minorEastAsia" w:hAnsi="Times New Roman"/>
          <w:sz w:val="20"/>
          <w:szCs w:val="20"/>
          <w:lang w:val="en-GB"/>
        </w:rPr>
        <w:t xml:space="preserve"> Even MDT is configured earlier than QoE measurement, either OAM could trigger another MDT measurement, or make sure that the two addresses should be the same, or OAM could forward the received MDT to MCE if addresses are different.</w:t>
      </w:r>
    </w:p>
    <w:p w14:paraId="57F30E22" w14:textId="35B71A1A" w:rsidR="00D83C81" w:rsidRPr="00D83C81" w:rsidRDefault="00D83C81" w:rsidP="006E4FF2">
      <w:pPr>
        <w:pStyle w:val="afc"/>
        <w:spacing w:before="0" w:beforeAutospacing="0" w:after="180" w:afterAutospacing="0"/>
        <w:rPr>
          <w:rFonts w:ascii="Times New Roman" w:eastAsiaTheme="minorEastAsia" w:hAnsi="Times New Roman"/>
          <w:b/>
          <w:sz w:val="20"/>
          <w:szCs w:val="20"/>
          <w:lang w:val="en-GB"/>
        </w:rPr>
      </w:pPr>
      <w:r w:rsidRPr="00D83C81">
        <w:rPr>
          <w:rFonts w:ascii="Times New Roman" w:eastAsiaTheme="minorEastAsia" w:hAnsi="Times New Roman"/>
          <w:b/>
          <w:sz w:val="20"/>
          <w:szCs w:val="20"/>
          <w:lang w:val="en-GB"/>
        </w:rPr>
        <w:t xml:space="preserve">Proposal 1: </w:t>
      </w:r>
      <w:r>
        <w:rPr>
          <w:rFonts w:ascii="Times New Roman" w:eastAsiaTheme="minorEastAsia" w:hAnsi="Times New Roman"/>
          <w:b/>
          <w:sz w:val="20"/>
          <w:szCs w:val="20"/>
          <w:lang w:val="en-GB"/>
        </w:rPr>
        <w:t xml:space="preserve"> </w:t>
      </w:r>
      <w:r w:rsidR="002F2EAA" w:rsidRPr="00D30FC9">
        <w:rPr>
          <w:rFonts w:ascii="Times New Roman" w:eastAsiaTheme="minorEastAsia" w:hAnsi="Times New Roman"/>
          <w:sz w:val="20"/>
          <w:szCs w:val="20"/>
          <w:lang w:val="en-GB"/>
        </w:rPr>
        <w:t xml:space="preserve">It is proposed to adopt option 2 for </w:t>
      </w:r>
      <w:r w:rsidRPr="00D30FC9">
        <w:rPr>
          <w:rFonts w:ascii="Times New Roman" w:eastAsiaTheme="minorEastAsia" w:hAnsi="Times New Roman"/>
          <w:sz w:val="20"/>
          <w:szCs w:val="20"/>
          <w:lang w:val="en-GB"/>
        </w:rPr>
        <w:t>split RAN</w:t>
      </w:r>
      <w:r w:rsidR="002F2EAA" w:rsidRPr="00D30FC9">
        <w:rPr>
          <w:rFonts w:ascii="Times New Roman" w:eastAsiaTheme="minorEastAsia" w:hAnsi="Times New Roman"/>
          <w:sz w:val="20"/>
          <w:szCs w:val="20"/>
          <w:lang w:val="en-GB"/>
        </w:rPr>
        <w:t xml:space="preserve"> architecture </w:t>
      </w:r>
      <w:r w:rsidR="002F2EAA" w:rsidRPr="00D30FC9">
        <w:rPr>
          <w:rFonts w:ascii="Times New Roman" w:eastAsiaTheme="minorEastAsia" w:hAnsi="Times New Roman"/>
          <w:b/>
          <w:sz w:val="20"/>
          <w:szCs w:val="20"/>
          <w:lang w:val="en-GB"/>
        </w:rPr>
        <w:t>regarding the alignment between QoE and MDT</w:t>
      </w:r>
      <w:r>
        <w:rPr>
          <w:rFonts w:ascii="Times New Roman" w:eastAsiaTheme="minorEastAsia" w:hAnsi="Times New Roman"/>
          <w:b/>
          <w:sz w:val="20"/>
          <w:szCs w:val="20"/>
          <w:lang w:val="en-GB"/>
        </w:rPr>
        <w:t>.</w:t>
      </w:r>
    </w:p>
    <w:p w14:paraId="163EF2B9" w14:textId="508A4BD0" w:rsidR="00FC4A5F" w:rsidRDefault="00FC4A5F" w:rsidP="000D743E">
      <w:pPr>
        <w:rPr>
          <w:rFonts w:eastAsiaTheme="minorEastAsia"/>
          <w:lang w:val="en-US" w:eastAsia="zh-CN"/>
        </w:rPr>
      </w:pPr>
      <w:r>
        <w:rPr>
          <w:rFonts w:eastAsiaTheme="minorEastAsia" w:hint="eastAsia"/>
          <w:lang w:val="en-US" w:eastAsia="zh-CN"/>
        </w:rPr>
        <w:t>In</w:t>
      </w:r>
      <w:r>
        <w:rPr>
          <w:rFonts w:eastAsiaTheme="minorEastAsia"/>
          <w:lang w:val="en-US" w:eastAsia="zh-CN"/>
        </w:rPr>
        <w:t xml:space="preserve"> the last meeting, RAN3 </w:t>
      </w:r>
      <w:r w:rsidR="007E2D98">
        <w:rPr>
          <w:rFonts w:eastAsiaTheme="minorEastAsia"/>
          <w:lang w:val="en-US" w:eastAsia="zh-CN"/>
        </w:rPr>
        <w:t>thinks</w:t>
      </w:r>
      <w:r>
        <w:rPr>
          <w:rFonts w:eastAsiaTheme="minorEastAsia"/>
          <w:lang w:val="en-US" w:eastAsia="zh-CN"/>
        </w:rPr>
        <w:t xml:space="preserve"> that the network can use the QMC start/end indication to activate/deactivate the MDT configuration.</w:t>
      </w:r>
    </w:p>
    <w:p w14:paraId="7B389819" w14:textId="77777777" w:rsidR="00FC4A5F" w:rsidRPr="003D5520" w:rsidRDefault="00FC4A5F" w:rsidP="00FC4A5F">
      <w:pPr>
        <w:rPr>
          <w:rFonts w:ascii="Calibri" w:hAnsi="Calibri" w:cs="Calibri"/>
          <w:color w:val="00B050"/>
          <w:sz w:val="16"/>
          <w:szCs w:val="16"/>
        </w:rPr>
      </w:pPr>
      <w:r w:rsidRPr="003D5520">
        <w:rPr>
          <w:rFonts w:ascii="Calibri" w:hAnsi="Calibri" w:cs="Calibri"/>
          <w:color w:val="00B050"/>
          <w:sz w:val="16"/>
          <w:szCs w:val="16"/>
        </w:rPr>
        <w:t>UE assisted solution can be used for MDT-QoE alignment. UE can indicate to gNB via a flag whether QoE Measurement Collection (QMC) started/ended in the UE. If the NG-RAN knows there is an MDT configuration associated with a QoE configuration (e.g., upon receiving NG-RAN Trace ID in the QoE configuration from OAM),</w:t>
      </w:r>
    </w:p>
    <w:p w14:paraId="452FFDBA" w14:textId="77777777" w:rsidR="00FC4A5F" w:rsidRPr="003D5520" w:rsidRDefault="00FC4A5F" w:rsidP="00FC4A5F">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NG-RAN can configure the UE with that associated MDT configuration upon receiving the QMC start indication from the UE</w:t>
      </w:r>
    </w:p>
    <w:p w14:paraId="5D25B225" w14:textId="77777777" w:rsidR="00FC4A5F" w:rsidRPr="003D5520" w:rsidRDefault="00FC4A5F" w:rsidP="00FC4A5F">
      <w:pPr>
        <w:rPr>
          <w:rFonts w:ascii="Calibri" w:hAnsi="Calibri" w:cs="Calibri"/>
          <w:color w:val="00B050"/>
          <w:sz w:val="16"/>
          <w:szCs w:val="16"/>
        </w:rPr>
      </w:pPr>
      <w:r w:rsidRPr="003D5520">
        <w:rPr>
          <w:rFonts w:ascii="Calibri" w:hAnsi="Calibri" w:cs="Calibri" w:hint="eastAsia"/>
          <w:color w:val="00B050"/>
          <w:sz w:val="16"/>
          <w:szCs w:val="16"/>
        </w:rPr>
        <w:t>·</w:t>
      </w:r>
      <w:r w:rsidRPr="003D5520">
        <w:rPr>
          <w:rFonts w:ascii="Calibri" w:hAnsi="Calibri" w:cs="Calibri"/>
          <w:color w:val="00B050"/>
          <w:sz w:val="16"/>
          <w:szCs w:val="16"/>
        </w:rPr>
        <w:t xml:space="preserve"> NG-RAN can deactivate the associated MDT configuration upon receiving the QMC end indication from the UE</w:t>
      </w:r>
    </w:p>
    <w:p w14:paraId="07F27329" w14:textId="43111E69" w:rsidR="00FC4A5F" w:rsidRPr="00FC4A5F" w:rsidRDefault="00FC4A5F" w:rsidP="000D743E">
      <w:pPr>
        <w:rPr>
          <w:rFonts w:eastAsiaTheme="minorEastAsia"/>
          <w:lang w:eastAsia="zh-CN"/>
        </w:rPr>
      </w:pPr>
      <w:r>
        <w:rPr>
          <w:rFonts w:eastAsiaTheme="minorEastAsia" w:hint="eastAsia"/>
          <w:lang w:eastAsia="zh-CN"/>
        </w:rPr>
        <w:t>B</w:t>
      </w:r>
      <w:r>
        <w:rPr>
          <w:rFonts w:eastAsiaTheme="minorEastAsia"/>
          <w:lang w:eastAsia="zh-CN"/>
        </w:rPr>
        <w:t>ut RAN3 also agreed that the MDT may have been configured before the QMC in RAN3#114.</w:t>
      </w:r>
    </w:p>
    <w:p w14:paraId="6B09BDDE" w14:textId="77777777" w:rsidR="006E4FF2" w:rsidRDefault="006E4FF2" w:rsidP="006E4FF2">
      <w:pPr>
        <w:rPr>
          <w:rFonts w:ascii="Calibri" w:hAnsi="Calibri" w:cs="Calibri"/>
          <w:color w:val="00B050"/>
          <w:sz w:val="16"/>
          <w:szCs w:val="16"/>
        </w:rPr>
      </w:pPr>
      <w:r>
        <w:rPr>
          <w:rFonts w:ascii="Calibri" w:hAnsi="Calibri" w:cs="Calibri"/>
          <w:color w:val="00B050"/>
          <w:sz w:val="16"/>
          <w:szCs w:val="16"/>
        </w:rPr>
        <w:t xml:space="preserve">To enable time alignment between an already ongoing Immediate MDT and a QoE measurement started later, the start time and end time of the QoE measurement, in addition to the Trace Reference and Trace Recording Session ID, needs to be added to the QoE measurement report at the NG-RAN node. </w:t>
      </w:r>
    </w:p>
    <w:p w14:paraId="58525EC0" w14:textId="55168295" w:rsidR="006E4FF2" w:rsidRDefault="00FC4A5F" w:rsidP="000D743E">
      <w:pPr>
        <w:rPr>
          <w:rFonts w:eastAsiaTheme="minorEastAsia"/>
          <w:lang w:eastAsia="zh-CN"/>
        </w:rPr>
      </w:pPr>
      <w:r>
        <w:rPr>
          <w:rFonts w:eastAsiaTheme="minorEastAsia" w:hint="eastAsia"/>
          <w:lang w:eastAsia="zh-CN"/>
        </w:rPr>
        <w:t>T</w:t>
      </w:r>
      <w:r>
        <w:rPr>
          <w:rFonts w:eastAsiaTheme="minorEastAsia"/>
          <w:lang w:eastAsia="zh-CN"/>
        </w:rPr>
        <w:t>herefore we think the (de)activation of MDT based on the QMC start/end indication from the UE is used only when the RAN receives the QMC and MDT configuration at the same time.</w:t>
      </w:r>
    </w:p>
    <w:p w14:paraId="5B9C7BD3" w14:textId="474F4EDA" w:rsidR="00FC4A5F" w:rsidRDefault="00FC4A5F" w:rsidP="000D743E">
      <w:pPr>
        <w:rPr>
          <w:rFonts w:eastAsiaTheme="minorEastAsia"/>
          <w:b/>
        </w:rPr>
      </w:pPr>
      <w:r w:rsidRPr="00D83C81">
        <w:rPr>
          <w:rFonts w:eastAsiaTheme="minorEastAsia"/>
          <w:b/>
        </w:rPr>
        <w:t xml:space="preserve">Proposal </w:t>
      </w:r>
      <w:r>
        <w:rPr>
          <w:rFonts w:eastAsiaTheme="minorEastAsia"/>
          <w:b/>
        </w:rPr>
        <w:t>2</w:t>
      </w:r>
      <w:r w:rsidRPr="00D83C81">
        <w:rPr>
          <w:rFonts w:eastAsiaTheme="minorEastAsia"/>
          <w:b/>
        </w:rPr>
        <w:t xml:space="preserve">: </w:t>
      </w:r>
      <w:r>
        <w:rPr>
          <w:rFonts w:eastAsiaTheme="minorEastAsia"/>
          <w:b/>
        </w:rPr>
        <w:t xml:space="preserve"> Clarify that </w:t>
      </w:r>
      <w:r w:rsidRPr="00FC4A5F">
        <w:rPr>
          <w:rFonts w:eastAsiaTheme="minorEastAsia"/>
          <w:b/>
        </w:rPr>
        <w:t>the (de)activation of MDT based on the QMC start/end indication from the UE is used only when the RAN receives the QMC and MDT configuration at the same time</w:t>
      </w:r>
      <w:r>
        <w:rPr>
          <w:rFonts w:eastAsiaTheme="minorEastAsia"/>
          <w:b/>
        </w:rPr>
        <w:t>.</w:t>
      </w:r>
      <w:r w:rsidRPr="00FC4A5F">
        <w:rPr>
          <w:rFonts w:eastAsiaTheme="minorEastAsia"/>
          <w:b/>
        </w:rPr>
        <w:t xml:space="preserve"> </w:t>
      </w:r>
    </w:p>
    <w:p w14:paraId="5A45BB67" w14:textId="648B52F0" w:rsidR="00E51D63" w:rsidRDefault="00E51D63" w:rsidP="000D743E">
      <w:pPr>
        <w:rPr>
          <w:rFonts w:eastAsiaTheme="minorEastAsia"/>
        </w:rPr>
      </w:pPr>
      <w:r w:rsidRPr="00E51D63">
        <w:rPr>
          <w:rFonts w:eastAsiaTheme="minorEastAsia"/>
        </w:rPr>
        <w:t>Even if the RAN receives the QMC and MDT configuration at the same time,</w:t>
      </w:r>
      <w:r>
        <w:rPr>
          <w:rFonts w:eastAsiaTheme="minorEastAsia"/>
        </w:rPr>
        <w:t xml:space="preserve"> we are still have concerns on (de)activation of MDT based on the QMC start/end indication from the UE. We think it will have impact on the existing MDT </w:t>
      </w:r>
      <w:r>
        <w:t>mechanism</w:t>
      </w:r>
      <w:r>
        <w:rPr>
          <w:rFonts w:eastAsiaTheme="minorEastAsia"/>
        </w:rPr>
        <w:t xml:space="preserve">. In the current MDT procedure, the RAN will only select the UE based on the UE capability and the area scope of the MDT. The RAN will configure the MDT for the UE after the selection. If we limit that the NG-RAN </w:t>
      </w:r>
      <w:r>
        <w:rPr>
          <w:rFonts w:eastAsiaTheme="minorEastAsia"/>
        </w:rPr>
        <w:lastRenderedPageBreak/>
        <w:t>only send</w:t>
      </w:r>
      <w:r w:rsidR="007E2D98">
        <w:rPr>
          <w:rFonts w:eastAsiaTheme="minorEastAsia"/>
        </w:rPr>
        <w:t>s</w:t>
      </w:r>
      <w:r>
        <w:rPr>
          <w:rFonts w:eastAsiaTheme="minorEastAsia"/>
        </w:rPr>
        <w:t xml:space="preserve"> the MDT to the UE after receiving the QMC start/end indication, it will have impact on the existing MDT procedure.</w:t>
      </w:r>
    </w:p>
    <w:p w14:paraId="3A0474E3" w14:textId="4C712BAA" w:rsidR="00E51D63" w:rsidRDefault="00E51D63" w:rsidP="000D743E">
      <w:pPr>
        <w:rPr>
          <w:rFonts w:eastAsiaTheme="minorEastAsia"/>
        </w:rPr>
      </w:pPr>
      <w:r>
        <w:rPr>
          <w:rFonts w:eastAsiaTheme="minorEastAsia"/>
        </w:rPr>
        <w:t xml:space="preserve">In our understanding, the motivation of introducing the QMC start/end indication from the UE is to know the time of </w:t>
      </w:r>
      <w:r w:rsidR="00E2756F">
        <w:rPr>
          <w:rFonts w:eastAsiaTheme="minorEastAsia"/>
        </w:rPr>
        <w:t xml:space="preserve">QoE measurement and then to perform the alignment. Even if the RAN configures the MDT earlier than the starting of QMC, we think the MCE also can perform the alignment correctly. Therefore </w:t>
      </w:r>
      <w:r w:rsidR="007E2D98">
        <w:rPr>
          <w:rFonts w:eastAsiaTheme="minorEastAsia"/>
        </w:rPr>
        <w:t xml:space="preserve">it is not needed </w:t>
      </w:r>
      <w:r w:rsidR="00E2756F">
        <w:rPr>
          <w:rFonts w:eastAsiaTheme="minorEastAsia"/>
        </w:rPr>
        <w:t xml:space="preserve">to limit that the RAN can only configure the MDT after the starting of </w:t>
      </w:r>
      <w:r w:rsidR="001941B9">
        <w:rPr>
          <w:rFonts w:eastAsiaTheme="minorEastAsia"/>
        </w:rPr>
        <w:t>QMC</w:t>
      </w:r>
      <w:r w:rsidR="00E2756F">
        <w:rPr>
          <w:rFonts w:eastAsiaTheme="minorEastAsia"/>
        </w:rPr>
        <w:t>.</w:t>
      </w:r>
    </w:p>
    <w:p w14:paraId="1CBB5CE6" w14:textId="1500979B" w:rsidR="00E2756F" w:rsidRDefault="00E2756F" w:rsidP="00E2756F">
      <w:pPr>
        <w:rPr>
          <w:rFonts w:eastAsiaTheme="minorEastAsia"/>
          <w:b/>
        </w:rPr>
      </w:pPr>
      <w:r w:rsidRPr="00D83C81">
        <w:rPr>
          <w:rFonts w:eastAsiaTheme="minorEastAsia"/>
          <w:b/>
        </w:rPr>
        <w:t xml:space="preserve">Proposal </w:t>
      </w:r>
      <w:r>
        <w:rPr>
          <w:rFonts w:eastAsiaTheme="minorEastAsia"/>
          <w:b/>
        </w:rPr>
        <w:t>3</w:t>
      </w:r>
      <w:r w:rsidRPr="00D83C81">
        <w:rPr>
          <w:rFonts w:eastAsiaTheme="minorEastAsia"/>
          <w:b/>
        </w:rPr>
        <w:t xml:space="preserve">: </w:t>
      </w:r>
      <w:r>
        <w:rPr>
          <w:rFonts w:eastAsiaTheme="minorEastAsia"/>
          <w:b/>
        </w:rPr>
        <w:t xml:space="preserve"> </w:t>
      </w:r>
      <w:r w:rsidR="00AD1468">
        <w:rPr>
          <w:rFonts w:eastAsiaTheme="minorEastAsia"/>
          <w:b/>
        </w:rPr>
        <w:t>To clarify that when MDT and QMC configuration are received by NG-RAN at the same time, and if MDT has not been configured to UE upon reception of the QMC start indication from UE, NG-RAN should send MDT configuration to UE immediately</w:t>
      </w:r>
      <w:r>
        <w:rPr>
          <w:rFonts w:eastAsiaTheme="minorEastAsia"/>
          <w:b/>
        </w:rPr>
        <w:t>.</w:t>
      </w:r>
    </w:p>
    <w:p w14:paraId="17E98FE1" w14:textId="77777777" w:rsidR="00E2756F" w:rsidRPr="00E2756F" w:rsidRDefault="00E2756F" w:rsidP="000D743E">
      <w:pPr>
        <w:rPr>
          <w:rFonts w:eastAsiaTheme="minorEastAsia"/>
        </w:rPr>
      </w:pPr>
    </w:p>
    <w:p w14:paraId="6667183C" w14:textId="13B0EF93" w:rsidR="00244767" w:rsidRDefault="00244767" w:rsidP="000D743E">
      <w:pPr>
        <w:rPr>
          <w:rFonts w:eastAsiaTheme="minorEastAsia"/>
          <w:lang w:eastAsia="zh-CN"/>
        </w:rPr>
      </w:pPr>
      <w:r w:rsidRPr="00244767">
        <w:rPr>
          <w:rFonts w:eastAsiaTheme="minorEastAsia" w:hint="eastAsia"/>
          <w:lang w:eastAsia="zh-CN"/>
        </w:rPr>
        <w:t>I</w:t>
      </w:r>
      <w:r w:rsidRPr="00244767">
        <w:rPr>
          <w:rFonts w:eastAsiaTheme="minorEastAsia"/>
          <w:lang w:eastAsia="zh-CN"/>
        </w:rPr>
        <w:t>n the last meeting,</w:t>
      </w:r>
      <w:r>
        <w:rPr>
          <w:rFonts w:eastAsiaTheme="minorEastAsia"/>
          <w:lang w:eastAsia="zh-CN"/>
        </w:rPr>
        <w:t xml:space="preserve"> RAN3 discussed whether to support the alignment between s-based QoE and m-based MDT. The issue is that the MDT and QoE may have different </w:t>
      </w:r>
      <w:r w:rsidR="00D62F12">
        <w:rPr>
          <w:rFonts w:eastAsiaTheme="minorEastAsia"/>
          <w:lang w:eastAsia="zh-CN"/>
        </w:rPr>
        <w:t>area scope and then the MCE cannot perform the alignment</w:t>
      </w:r>
      <w:r>
        <w:rPr>
          <w:rFonts w:eastAsiaTheme="minorEastAsia"/>
          <w:lang w:eastAsia="zh-CN"/>
        </w:rPr>
        <w:t xml:space="preserve">. In our understanding, the OAM can ensure that the s-based QoE and m-based MDT have the same </w:t>
      </w:r>
      <w:r w:rsidR="00D62F12">
        <w:rPr>
          <w:rFonts w:eastAsiaTheme="minorEastAsia"/>
          <w:lang w:eastAsia="zh-CN"/>
        </w:rPr>
        <w:t>area scope</w:t>
      </w:r>
      <w:r>
        <w:rPr>
          <w:rFonts w:eastAsiaTheme="minorEastAsia"/>
          <w:lang w:eastAsia="zh-CN"/>
        </w:rPr>
        <w:t>.</w:t>
      </w:r>
      <w:r w:rsidR="00D62F12">
        <w:rPr>
          <w:rFonts w:eastAsiaTheme="minorEastAsia"/>
          <w:lang w:eastAsia="zh-CN"/>
        </w:rPr>
        <w:t xml:space="preserve"> In fact, we think the alignment of s-based QoE and s-based MDT also have the same issue.</w:t>
      </w:r>
    </w:p>
    <w:p w14:paraId="264E686B" w14:textId="3BF3B66C" w:rsidR="00244767" w:rsidRDefault="00244767" w:rsidP="00244767">
      <w:pPr>
        <w:rPr>
          <w:rFonts w:eastAsiaTheme="minorEastAsia"/>
          <w:b/>
        </w:rPr>
      </w:pPr>
      <w:r w:rsidRPr="00D83C81">
        <w:rPr>
          <w:rFonts w:eastAsiaTheme="minorEastAsia"/>
          <w:b/>
        </w:rPr>
        <w:t xml:space="preserve">Proposal </w:t>
      </w:r>
      <w:r w:rsidR="00E2756F">
        <w:rPr>
          <w:rFonts w:eastAsiaTheme="minorEastAsia"/>
          <w:b/>
        </w:rPr>
        <w:t>4</w:t>
      </w:r>
      <w:r w:rsidRPr="00D83C81">
        <w:rPr>
          <w:rFonts w:eastAsiaTheme="minorEastAsia"/>
          <w:b/>
        </w:rPr>
        <w:t xml:space="preserve">: </w:t>
      </w:r>
      <w:r>
        <w:rPr>
          <w:rFonts w:eastAsiaTheme="minorEastAsia"/>
          <w:b/>
        </w:rPr>
        <w:t xml:space="preserve"> Support </w:t>
      </w:r>
      <w:r w:rsidRPr="00244767">
        <w:rPr>
          <w:rFonts w:eastAsiaTheme="minorEastAsia"/>
          <w:b/>
        </w:rPr>
        <w:t xml:space="preserve">the alignment of QoE and MDT </w:t>
      </w:r>
      <w:r>
        <w:rPr>
          <w:rFonts w:eastAsiaTheme="minorEastAsia"/>
          <w:b/>
        </w:rPr>
        <w:t>only when they have the same are</w:t>
      </w:r>
      <w:r w:rsidR="00D62F12">
        <w:rPr>
          <w:rFonts w:eastAsiaTheme="minorEastAsia"/>
          <w:b/>
        </w:rPr>
        <w:t>a scope.</w:t>
      </w:r>
    </w:p>
    <w:p w14:paraId="51AF8E73" w14:textId="11EA4FB3" w:rsidR="00926500" w:rsidRDefault="00D62F12" w:rsidP="000D743E">
      <w:pPr>
        <w:rPr>
          <w:rFonts w:eastAsiaTheme="minorEastAsia"/>
          <w:lang w:eastAsia="zh-CN"/>
        </w:rPr>
      </w:pPr>
      <w:r>
        <w:rPr>
          <w:rFonts w:eastAsiaTheme="minorEastAsia"/>
          <w:lang w:eastAsia="zh-CN"/>
        </w:rPr>
        <w:t xml:space="preserve">In the last meeting, RAN3 also discussed the </w:t>
      </w:r>
      <w:r w:rsidRPr="00D62F12">
        <w:rPr>
          <w:rFonts w:eastAsiaTheme="minorEastAsia"/>
          <w:lang w:eastAsia="zh-CN"/>
        </w:rPr>
        <w:t>scenario where QoE measurement session span</w:t>
      </w:r>
      <w:r w:rsidR="00D64D79">
        <w:rPr>
          <w:rFonts w:eastAsiaTheme="minorEastAsia"/>
          <w:lang w:eastAsia="zh-CN"/>
        </w:rPr>
        <w:t>s</w:t>
      </w:r>
      <w:r w:rsidRPr="00D62F12">
        <w:rPr>
          <w:rFonts w:eastAsiaTheme="minorEastAsia"/>
          <w:lang w:eastAsia="zh-CN"/>
        </w:rPr>
        <w:t xml:space="preserve"> across multiple gNBs configured with m-based MDT with different Trace Reference.</w:t>
      </w:r>
      <w:r>
        <w:rPr>
          <w:rFonts w:eastAsiaTheme="minorEastAsia"/>
          <w:lang w:eastAsia="zh-CN"/>
        </w:rPr>
        <w:t xml:space="preserve"> </w:t>
      </w:r>
    </w:p>
    <w:p w14:paraId="764FACA9" w14:textId="0D2D95F7" w:rsidR="00926500" w:rsidRDefault="00926500" w:rsidP="00926500">
      <w:r>
        <w:rPr>
          <w:rFonts w:eastAsiaTheme="minorEastAsia"/>
          <w:lang w:eastAsia="zh-CN"/>
        </w:rPr>
        <w:t xml:space="preserve">In our understanding, the OAM does not know where the UE will move. Therefore the OAM does not know the gNBs that the UE will move to and does not know the m-based MDTs with different trace reference that the UE will been configured. It is difficult for the OAM to configure the </w:t>
      </w:r>
      <w:r w:rsidR="007E2D98">
        <w:rPr>
          <w:rFonts w:eastAsiaTheme="minorEastAsia"/>
          <w:lang w:eastAsia="zh-CN"/>
        </w:rPr>
        <w:t xml:space="preserve">MDT </w:t>
      </w:r>
      <w:r>
        <w:rPr>
          <w:rFonts w:eastAsiaTheme="minorEastAsia"/>
          <w:lang w:eastAsia="zh-CN"/>
        </w:rPr>
        <w:t xml:space="preserve">Trace references in the QoE configuration. In last meeting, some companies proposes that the OAM does not need to configure the trace references in the QoE configuration and the OAM only need to indicate that </w:t>
      </w:r>
      <w:r>
        <w:t xml:space="preserve">any available MDT measurement can be used for the alignment. In our understanding, the alignment between QoE and MDT should use the same measurement </w:t>
      </w:r>
      <w:r w:rsidR="00E51D63">
        <w:t>quantity</w:t>
      </w:r>
      <w:r w:rsidR="007E2D98">
        <w:t xml:space="preserve"> of MDT</w:t>
      </w:r>
      <w:r w:rsidR="00E51D63">
        <w:t>. D</w:t>
      </w:r>
      <w:r>
        <w:t>ifferent MDT measurement</w:t>
      </w:r>
      <w:r w:rsidR="007E2D98">
        <w:t xml:space="preserve"> of different gNBs</w:t>
      </w:r>
      <w:r>
        <w:t xml:space="preserve"> may have different purposes. Some gNBs may only perform the delay measurements, and some may only perform the radio quality measurement. Therefore</w:t>
      </w:r>
      <w:r w:rsidR="007E2D98">
        <w:t xml:space="preserve"> if the OAM does not indicate the trace references,</w:t>
      </w:r>
      <w:r>
        <w:t xml:space="preserve"> it is difficult for the MCE to perform the alig</w:t>
      </w:r>
      <w:r w:rsidR="00E51D63">
        <w:t>n</w:t>
      </w:r>
      <w:r>
        <w:t>ment</w:t>
      </w:r>
      <w:r w:rsidR="007E2D98">
        <w:t xml:space="preserve"> based on different measurement quantity</w:t>
      </w:r>
      <w:r>
        <w:t>.</w:t>
      </w:r>
      <w:r w:rsidR="00E51D63">
        <w:t xml:space="preserve"> </w:t>
      </w:r>
    </w:p>
    <w:p w14:paraId="7F9EB095" w14:textId="52C4DCCA" w:rsidR="00926500" w:rsidRDefault="00926500" w:rsidP="00926500">
      <w:pPr>
        <w:rPr>
          <w:rFonts w:eastAsiaTheme="minorEastAsia"/>
          <w:b/>
        </w:rPr>
      </w:pPr>
      <w:r w:rsidRPr="00D83C81">
        <w:rPr>
          <w:rFonts w:eastAsiaTheme="minorEastAsia"/>
          <w:b/>
        </w:rPr>
        <w:t xml:space="preserve">Proposal </w:t>
      </w:r>
      <w:r w:rsidR="00E2756F">
        <w:rPr>
          <w:rFonts w:eastAsiaTheme="minorEastAsia"/>
          <w:b/>
        </w:rPr>
        <w:t>5</w:t>
      </w:r>
      <w:r w:rsidRPr="00D83C81">
        <w:rPr>
          <w:rFonts w:eastAsiaTheme="minorEastAsia"/>
          <w:b/>
        </w:rPr>
        <w:t xml:space="preserve">: </w:t>
      </w:r>
      <w:r w:rsidR="00D64D79">
        <w:rPr>
          <w:rFonts w:eastAsiaTheme="minorEastAsia"/>
          <w:b/>
        </w:rPr>
        <w:t>There is no</w:t>
      </w:r>
      <w:r w:rsidR="00E51D63">
        <w:rPr>
          <w:rFonts w:eastAsiaTheme="minorEastAsia"/>
          <w:b/>
        </w:rPr>
        <w:t xml:space="preserve"> need to support </w:t>
      </w:r>
      <w:r w:rsidRPr="00926500">
        <w:rPr>
          <w:rFonts w:eastAsiaTheme="minorEastAsia"/>
          <w:b/>
        </w:rPr>
        <w:t>the scenario where QoE measurement session</w:t>
      </w:r>
      <w:r w:rsidR="00D64D79">
        <w:rPr>
          <w:rFonts w:eastAsiaTheme="minorEastAsia"/>
          <w:b/>
        </w:rPr>
        <w:t>s</w:t>
      </w:r>
      <w:r w:rsidRPr="00926500">
        <w:rPr>
          <w:rFonts w:eastAsiaTheme="minorEastAsia"/>
          <w:b/>
        </w:rPr>
        <w:t xml:space="preserve"> span across multiple gNBs configured with m-based MDT with different Trace Reference</w:t>
      </w:r>
      <w:r>
        <w:rPr>
          <w:rFonts w:eastAsiaTheme="minorEastAsia"/>
          <w:b/>
        </w:rPr>
        <w:t>.</w:t>
      </w:r>
    </w:p>
    <w:p w14:paraId="494EEF77" w14:textId="40D7648D" w:rsidR="00572558" w:rsidRPr="00572558" w:rsidRDefault="00572558" w:rsidP="00926500">
      <w:pPr>
        <w:rPr>
          <w:rFonts w:eastAsiaTheme="minorEastAsia"/>
        </w:rPr>
      </w:pPr>
      <w:r w:rsidRPr="00572558">
        <w:rPr>
          <w:rFonts w:eastAsiaTheme="minorEastAsia"/>
        </w:rPr>
        <w:t>With proposal 5 above, we could see that if Trace reference for m-based MDT could not be unique among different gNBs, then the alignment between MDT and QMC can only be supported for intra-node case.</w:t>
      </w:r>
      <w:r w:rsidR="00D30FC9">
        <w:rPr>
          <w:rFonts w:eastAsiaTheme="minorEastAsia"/>
        </w:rPr>
        <w:t xml:space="preserve"> </w:t>
      </w:r>
      <w:r w:rsidR="00D30FC9">
        <w:rPr>
          <w:rFonts w:eastAsiaTheme="minorEastAsia"/>
        </w:rPr>
        <w:t>Corresponding TP could refer to [1].</w:t>
      </w:r>
    </w:p>
    <w:bookmarkEnd w:id="2"/>
    <w:bookmarkEnd w:id="3"/>
    <w:p w14:paraId="2A9D8DCF" w14:textId="26A4853D" w:rsidR="00326166" w:rsidRPr="007D3E81" w:rsidRDefault="003E4051" w:rsidP="001A1F92">
      <w:pPr>
        <w:pStyle w:val="10"/>
        <w:rPr>
          <w:rFonts w:eastAsia="宋体"/>
          <w:lang w:eastAsia="zh-CN"/>
        </w:rPr>
      </w:pPr>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3E6B3AC6"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p>
    <w:p w14:paraId="4C411583" w14:textId="4E0FD9A0" w:rsidR="00A955ED" w:rsidRPr="00D83C81" w:rsidRDefault="00A955ED" w:rsidP="00A955ED">
      <w:pPr>
        <w:pStyle w:val="afc"/>
        <w:spacing w:before="0" w:beforeAutospacing="0" w:after="180" w:afterAutospacing="0"/>
        <w:rPr>
          <w:rFonts w:ascii="Times New Roman" w:eastAsiaTheme="minorEastAsia" w:hAnsi="Times New Roman"/>
          <w:b/>
          <w:sz w:val="20"/>
          <w:szCs w:val="20"/>
          <w:lang w:val="en-GB"/>
        </w:rPr>
      </w:pPr>
      <w:r w:rsidRPr="00D83C81">
        <w:rPr>
          <w:rFonts w:ascii="Times New Roman" w:eastAsiaTheme="minorEastAsia" w:hAnsi="Times New Roman"/>
          <w:b/>
          <w:sz w:val="20"/>
          <w:szCs w:val="20"/>
          <w:lang w:val="en-GB"/>
        </w:rPr>
        <w:t xml:space="preserve">Proposal 1: </w:t>
      </w:r>
      <w:r w:rsidR="002F2EAA" w:rsidRPr="002F2EAA">
        <w:rPr>
          <w:rFonts w:ascii="Times New Roman" w:eastAsiaTheme="minorEastAsia" w:hAnsi="Times New Roman"/>
          <w:b/>
          <w:sz w:val="20"/>
          <w:szCs w:val="20"/>
          <w:lang w:val="en-GB"/>
        </w:rPr>
        <w:t>It is proposed to adopt option 2 for split RAN architecture regarding the alignment between QoE and MDT</w:t>
      </w:r>
      <w:r>
        <w:rPr>
          <w:rFonts w:ascii="Times New Roman" w:eastAsiaTheme="minorEastAsia" w:hAnsi="Times New Roman"/>
          <w:b/>
          <w:sz w:val="20"/>
          <w:szCs w:val="20"/>
          <w:lang w:val="en-GB"/>
        </w:rPr>
        <w:t>.</w:t>
      </w:r>
    </w:p>
    <w:p w14:paraId="7803FE56" w14:textId="3AA7721A" w:rsidR="00A955ED" w:rsidRDefault="00A955ED" w:rsidP="00A955ED">
      <w:pPr>
        <w:rPr>
          <w:rFonts w:eastAsiaTheme="minorEastAsia"/>
          <w:b/>
        </w:rPr>
      </w:pPr>
      <w:r w:rsidRPr="00A955ED">
        <w:rPr>
          <w:rFonts w:eastAsiaTheme="minorEastAsia"/>
          <w:b/>
        </w:rPr>
        <w:t xml:space="preserve">Proposal 2:  Clarify that the (de)activation of MDT based on the QMC start/end indication from the UE is used only when the RAN receives the QMC and MDT configuration at the same time. </w:t>
      </w:r>
    </w:p>
    <w:p w14:paraId="26CDAB55" w14:textId="2892F03E" w:rsidR="00A955ED" w:rsidRDefault="00A955ED" w:rsidP="00A955ED">
      <w:pPr>
        <w:rPr>
          <w:rFonts w:eastAsiaTheme="minorEastAsia"/>
          <w:b/>
        </w:rPr>
      </w:pPr>
      <w:r w:rsidRPr="00D83C81">
        <w:rPr>
          <w:rFonts w:eastAsiaTheme="minorEastAsia"/>
          <w:b/>
        </w:rPr>
        <w:t xml:space="preserve">Proposal </w:t>
      </w:r>
      <w:r>
        <w:rPr>
          <w:rFonts w:eastAsiaTheme="minorEastAsia"/>
          <w:b/>
        </w:rPr>
        <w:t>3</w:t>
      </w:r>
      <w:r w:rsidRPr="00D83C81">
        <w:rPr>
          <w:rFonts w:eastAsiaTheme="minorEastAsia"/>
          <w:b/>
        </w:rPr>
        <w:t xml:space="preserve">: </w:t>
      </w:r>
      <w:r w:rsidR="00AD1468">
        <w:rPr>
          <w:rFonts w:eastAsiaTheme="minorEastAsia"/>
          <w:b/>
        </w:rPr>
        <w:t>To clarify that when MDT and QMC configuration are received by NG-RAN at the same time, and if MDT has not been configured to UE upon reception of the QMC start indication from UE, NG-RAN should send MDT configuration to UE immediately.</w:t>
      </w:r>
      <w:r>
        <w:rPr>
          <w:rFonts w:eastAsiaTheme="minorEastAsia"/>
          <w:b/>
        </w:rPr>
        <w:t>.</w:t>
      </w:r>
    </w:p>
    <w:p w14:paraId="20250B8A" w14:textId="77777777" w:rsidR="00A955ED" w:rsidRDefault="00A955ED" w:rsidP="00A955ED">
      <w:pPr>
        <w:rPr>
          <w:rFonts w:eastAsiaTheme="minorEastAsia"/>
          <w:b/>
        </w:rPr>
      </w:pPr>
      <w:r w:rsidRPr="00D83C81">
        <w:rPr>
          <w:rFonts w:eastAsiaTheme="minorEastAsia"/>
          <w:b/>
        </w:rPr>
        <w:t xml:space="preserve">Proposal </w:t>
      </w:r>
      <w:r>
        <w:rPr>
          <w:rFonts w:eastAsiaTheme="minorEastAsia"/>
          <w:b/>
        </w:rPr>
        <w:t>4</w:t>
      </w:r>
      <w:r w:rsidRPr="00D83C81">
        <w:rPr>
          <w:rFonts w:eastAsiaTheme="minorEastAsia"/>
          <w:b/>
        </w:rPr>
        <w:t xml:space="preserve">: </w:t>
      </w:r>
      <w:r>
        <w:rPr>
          <w:rFonts w:eastAsiaTheme="minorEastAsia"/>
          <w:b/>
        </w:rPr>
        <w:t xml:space="preserve"> Support </w:t>
      </w:r>
      <w:r w:rsidRPr="00244767">
        <w:rPr>
          <w:rFonts w:eastAsiaTheme="minorEastAsia"/>
          <w:b/>
        </w:rPr>
        <w:t xml:space="preserve">the alignment of QoE and MDT </w:t>
      </w:r>
      <w:r>
        <w:rPr>
          <w:rFonts w:eastAsiaTheme="minorEastAsia"/>
          <w:b/>
        </w:rPr>
        <w:t>only when they have the same area scope.</w:t>
      </w:r>
    </w:p>
    <w:p w14:paraId="39266C95" w14:textId="1F042861" w:rsidR="00A955ED" w:rsidRDefault="00A955ED" w:rsidP="00A955ED">
      <w:pPr>
        <w:rPr>
          <w:rFonts w:eastAsiaTheme="minorEastAsia"/>
          <w:b/>
        </w:rPr>
      </w:pPr>
      <w:r w:rsidRPr="00D83C81">
        <w:rPr>
          <w:rFonts w:eastAsiaTheme="minorEastAsia"/>
          <w:b/>
        </w:rPr>
        <w:t xml:space="preserve">Proposal </w:t>
      </w:r>
      <w:r>
        <w:rPr>
          <w:rFonts w:eastAsiaTheme="minorEastAsia"/>
          <w:b/>
        </w:rPr>
        <w:t>5</w:t>
      </w:r>
      <w:r w:rsidRPr="00D83C81">
        <w:rPr>
          <w:rFonts w:eastAsiaTheme="minorEastAsia"/>
          <w:b/>
        </w:rPr>
        <w:t xml:space="preserve">: </w:t>
      </w:r>
      <w:r w:rsidR="00D64D79">
        <w:rPr>
          <w:rFonts w:eastAsiaTheme="minorEastAsia"/>
          <w:b/>
        </w:rPr>
        <w:t xml:space="preserve">There is </w:t>
      </w:r>
      <w:r>
        <w:rPr>
          <w:rFonts w:eastAsiaTheme="minorEastAsia"/>
          <w:b/>
        </w:rPr>
        <w:t xml:space="preserve">no need to support </w:t>
      </w:r>
      <w:r w:rsidRPr="00926500">
        <w:rPr>
          <w:rFonts w:eastAsiaTheme="minorEastAsia"/>
          <w:b/>
        </w:rPr>
        <w:t>the scenario where QoE measurement session</w:t>
      </w:r>
      <w:r w:rsidR="00D64D79">
        <w:rPr>
          <w:rFonts w:eastAsiaTheme="minorEastAsia"/>
          <w:b/>
        </w:rPr>
        <w:t>s</w:t>
      </w:r>
      <w:r w:rsidRPr="00926500">
        <w:rPr>
          <w:rFonts w:eastAsiaTheme="minorEastAsia"/>
          <w:b/>
        </w:rPr>
        <w:t xml:space="preserve"> span across multiple gNBs configured with m-based MDT with different Trace Reference</w:t>
      </w:r>
      <w:r>
        <w:rPr>
          <w:rFonts w:eastAsiaTheme="minorEastAsia"/>
          <w:b/>
        </w:rPr>
        <w:t>.</w:t>
      </w:r>
    </w:p>
    <w:p w14:paraId="44D126E3" w14:textId="77777777" w:rsidR="00A955ED" w:rsidRPr="00A955ED" w:rsidRDefault="00A955ED" w:rsidP="00A955ED">
      <w:pPr>
        <w:rPr>
          <w:rFonts w:eastAsiaTheme="minorEastAsia"/>
          <w:b/>
        </w:rPr>
      </w:pPr>
    </w:p>
    <w:p w14:paraId="418FE276" w14:textId="33E56C76" w:rsidR="0001565F" w:rsidRPr="00FE326D" w:rsidRDefault="00995364" w:rsidP="00A07243">
      <w:pPr>
        <w:pStyle w:val="10"/>
        <w:rPr>
          <w:rFonts w:eastAsia="宋体"/>
          <w:lang w:eastAsia="zh-CN"/>
        </w:rPr>
      </w:pPr>
      <w:r w:rsidRPr="00FE326D">
        <w:rPr>
          <w:rFonts w:eastAsia="宋体"/>
          <w:lang w:eastAsia="zh-CN"/>
        </w:rPr>
        <w:lastRenderedPageBreak/>
        <w:t>4</w:t>
      </w:r>
      <w:r w:rsidR="005456E5" w:rsidRPr="00FE326D">
        <w:rPr>
          <w:rFonts w:eastAsia="宋体"/>
          <w:lang w:eastAsia="zh-CN"/>
        </w:rPr>
        <w:t xml:space="preserve">. </w:t>
      </w:r>
      <w:r w:rsidR="0001565F" w:rsidRPr="00FE326D">
        <w:rPr>
          <w:rFonts w:eastAsia="宋体"/>
          <w:lang w:eastAsia="zh-CN"/>
        </w:rPr>
        <w:t>Reference</w:t>
      </w:r>
    </w:p>
    <w:bookmarkEnd w:id="0"/>
    <w:p w14:paraId="4288931C" w14:textId="2E1914B1" w:rsidR="001010EA" w:rsidRPr="00D30FC9" w:rsidRDefault="00D30FC9" w:rsidP="00A955ED">
      <w:pPr>
        <w:rPr>
          <w:rFonts w:eastAsiaTheme="minorEastAsia" w:hint="eastAsia"/>
          <w:lang w:eastAsia="zh-CN"/>
        </w:rPr>
      </w:pPr>
      <w:r>
        <w:rPr>
          <w:rFonts w:eastAsiaTheme="minorEastAsia" w:hint="eastAsia"/>
          <w:lang w:eastAsia="zh-CN"/>
        </w:rPr>
        <w:t>[</w:t>
      </w:r>
      <w:r>
        <w:rPr>
          <w:rFonts w:eastAsiaTheme="minorEastAsia"/>
          <w:lang w:eastAsia="zh-CN"/>
        </w:rPr>
        <w:t>1]</w:t>
      </w:r>
      <w:r>
        <w:rPr>
          <w:rFonts w:eastAsiaTheme="minorEastAsia"/>
          <w:lang w:eastAsia="zh-CN"/>
        </w:rPr>
        <w:tab/>
      </w:r>
      <w:r w:rsidRPr="00AF14FF">
        <w:rPr>
          <w:rFonts w:eastAsia="宋体"/>
          <w:lang w:eastAsia="zh-CN"/>
        </w:rPr>
        <w:t>R3-222223, TP to 38.413 on configuration details, Huawei</w:t>
      </w:r>
    </w:p>
    <w:sectPr w:rsidR="001010EA" w:rsidRPr="00D30FC9">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634999" w14:textId="77777777" w:rsidR="00372683" w:rsidRDefault="00372683">
      <w:r>
        <w:separator/>
      </w:r>
    </w:p>
  </w:endnote>
  <w:endnote w:type="continuationSeparator" w:id="0">
    <w:p w14:paraId="177DED9C" w14:textId="77777777" w:rsidR="00372683" w:rsidRDefault="003726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CCC75F" w14:textId="77777777" w:rsidR="007C50C2" w:rsidRDefault="007C50C2">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9473E9" w14:textId="77777777" w:rsidR="00372683" w:rsidRDefault="00372683">
      <w:r>
        <w:separator/>
      </w:r>
    </w:p>
  </w:footnote>
  <w:footnote w:type="continuationSeparator" w:id="0">
    <w:p w14:paraId="64D995D3" w14:textId="77777777" w:rsidR="00372683" w:rsidRDefault="003726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796051"/>
    <w:multiLevelType w:val="hybridMultilevel"/>
    <w:tmpl w:val="4C46878A"/>
    <w:lvl w:ilvl="0" w:tplc="37A63D66">
      <w:start w:val="1"/>
      <w:numFmt w:val="decimal"/>
      <w:lvlText w:val="Observation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5D60296"/>
    <w:multiLevelType w:val="hybridMultilevel"/>
    <w:tmpl w:val="228CA4DA"/>
    <w:lvl w:ilvl="0" w:tplc="08FAD1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8ED193B"/>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BD1016E"/>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8"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11"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18012302"/>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5" w15:restartNumberingAfterBreak="0">
    <w:nsid w:val="29556D59"/>
    <w:multiLevelType w:val="multilevel"/>
    <w:tmpl w:val="6586323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6"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DBF24E6"/>
    <w:multiLevelType w:val="multilevel"/>
    <w:tmpl w:val="2DBF24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D94141A"/>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6C1146"/>
    <w:multiLevelType w:val="hybridMultilevel"/>
    <w:tmpl w:val="9DFC5F90"/>
    <w:lvl w:ilvl="0" w:tplc="5B52C7F6">
      <w:start w:val="1"/>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 w15:restartNumberingAfterBreak="0">
    <w:nsid w:val="44F106E3"/>
    <w:multiLevelType w:val="multilevel"/>
    <w:tmpl w:val="DA14CE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0A5AE2"/>
    <w:multiLevelType w:val="hybridMultilevel"/>
    <w:tmpl w:val="CDB64BFC"/>
    <w:lvl w:ilvl="0" w:tplc="9B9E8F56">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30" w15:restartNumberingAfterBreak="0">
    <w:nsid w:val="668263CB"/>
    <w:multiLevelType w:val="hybridMultilevel"/>
    <w:tmpl w:val="547EF654"/>
    <w:lvl w:ilvl="0" w:tplc="5100E49C">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C308BA"/>
    <w:multiLevelType w:val="multilevel"/>
    <w:tmpl w:val="79C308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A207812"/>
    <w:multiLevelType w:val="hybridMultilevel"/>
    <w:tmpl w:val="9A82F16C"/>
    <w:lvl w:ilvl="0" w:tplc="4BDC8D9C">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8"/>
  </w:num>
  <w:num w:numId="2">
    <w:abstractNumId w:val="7"/>
  </w:num>
  <w:num w:numId="3">
    <w:abstractNumId w:val="36"/>
  </w:num>
  <w:num w:numId="4">
    <w:abstractNumId w:val="29"/>
  </w:num>
  <w:num w:numId="5">
    <w:abstractNumId w:val="4"/>
  </w:num>
  <w:num w:numId="6">
    <w:abstractNumId w:val="10"/>
  </w:num>
  <w:num w:numId="7">
    <w:abstractNumId w:val="23"/>
  </w:num>
  <w:num w:numId="8">
    <w:abstractNumId w:val="25"/>
  </w:num>
  <w:num w:numId="9">
    <w:abstractNumId w:val="14"/>
  </w:num>
  <w:num w:numId="10">
    <w:abstractNumId w:val="18"/>
  </w:num>
  <w:num w:numId="11">
    <w:abstractNumId w:val="33"/>
  </w:num>
  <w:num w:numId="12">
    <w:abstractNumId w:val="28"/>
  </w:num>
  <w:num w:numId="13">
    <w:abstractNumId w:val="19"/>
    <w:lvlOverride w:ilvl="0">
      <w:startOverride w:val="1"/>
    </w:lvlOverride>
  </w:num>
  <w:num w:numId="14">
    <w:abstractNumId w:val="20"/>
  </w:num>
  <w:num w:numId="15">
    <w:abstractNumId w:val="31"/>
  </w:num>
  <w:num w:numId="16">
    <w:abstractNumId w:val="27"/>
  </w:num>
  <w:num w:numId="17">
    <w:abstractNumId w:val="12"/>
  </w:num>
  <w:num w:numId="18">
    <w:abstractNumId w:val="11"/>
  </w:num>
  <w:num w:numId="19">
    <w:abstractNumId w:val="18"/>
  </w:num>
  <w:num w:numId="20">
    <w:abstractNumId w:val="16"/>
  </w:num>
  <w:num w:numId="21">
    <w:abstractNumId w:val="0"/>
  </w:num>
  <w:num w:numId="22">
    <w:abstractNumId w:val="2"/>
  </w:num>
  <w:num w:numId="23">
    <w:abstractNumId w:val="18"/>
  </w:num>
  <w:num w:numId="24">
    <w:abstractNumId w:val="32"/>
  </w:num>
  <w:num w:numId="25">
    <w:abstractNumId w:val="9"/>
  </w:num>
  <w:num w:numId="26">
    <w:abstractNumId w:val="24"/>
  </w:num>
  <w:num w:numId="27">
    <w:abstractNumId w:val="15"/>
  </w:num>
  <w:num w:numId="28">
    <w:abstractNumId w:val="22"/>
  </w:num>
  <w:num w:numId="29">
    <w:abstractNumId w:val="34"/>
  </w:num>
  <w:num w:numId="30">
    <w:abstractNumId w:val="1"/>
  </w:num>
  <w:num w:numId="31">
    <w:abstractNumId w:val="35"/>
  </w:num>
  <w:num w:numId="32">
    <w:abstractNumId w:val="17"/>
  </w:num>
  <w:num w:numId="33">
    <w:abstractNumId w:val="21"/>
  </w:num>
  <w:num w:numId="34">
    <w:abstractNumId w:val="30"/>
  </w:num>
  <w:num w:numId="35">
    <w:abstractNumId w:val="5"/>
  </w:num>
  <w:num w:numId="36">
    <w:abstractNumId w:val="13"/>
  </w:num>
  <w:num w:numId="37">
    <w:abstractNumId w:val="6"/>
  </w:num>
  <w:num w:numId="38">
    <w:abstractNumId w:val="26"/>
  </w:num>
  <w:num w:numId="39">
    <w:abstractNumId w:val="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812"/>
    <w:rsid w:val="00001940"/>
    <w:rsid w:val="00002862"/>
    <w:rsid w:val="00002C5F"/>
    <w:rsid w:val="00003904"/>
    <w:rsid w:val="000039A3"/>
    <w:rsid w:val="00003DF6"/>
    <w:rsid w:val="00003FCF"/>
    <w:rsid w:val="000044DA"/>
    <w:rsid w:val="00005AD0"/>
    <w:rsid w:val="0000613E"/>
    <w:rsid w:val="000068C4"/>
    <w:rsid w:val="00006AA0"/>
    <w:rsid w:val="00010274"/>
    <w:rsid w:val="00011029"/>
    <w:rsid w:val="000110CA"/>
    <w:rsid w:val="00011674"/>
    <w:rsid w:val="000118F6"/>
    <w:rsid w:val="00011FD7"/>
    <w:rsid w:val="00013CB8"/>
    <w:rsid w:val="0001486F"/>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7B33"/>
    <w:rsid w:val="00040B64"/>
    <w:rsid w:val="0004127F"/>
    <w:rsid w:val="000421C4"/>
    <w:rsid w:val="00042552"/>
    <w:rsid w:val="00043BC5"/>
    <w:rsid w:val="000442D9"/>
    <w:rsid w:val="00044562"/>
    <w:rsid w:val="000460B7"/>
    <w:rsid w:val="000468A5"/>
    <w:rsid w:val="000470E5"/>
    <w:rsid w:val="00047A86"/>
    <w:rsid w:val="00047D2B"/>
    <w:rsid w:val="000502EF"/>
    <w:rsid w:val="0005055D"/>
    <w:rsid w:val="00052018"/>
    <w:rsid w:val="000520DD"/>
    <w:rsid w:val="00053E65"/>
    <w:rsid w:val="0005476A"/>
    <w:rsid w:val="00054CEB"/>
    <w:rsid w:val="00057F83"/>
    <w:rsid w:val="00061B84"/>
    <w:rsid w:val="00062292"/>
    <w:rsid w:val="000622D3"/>
    <w:rsid w:val="00062A3B"/>
    <w:rsid w:val="00064173"/>
    <w:rsid w:val="000655EF"/>
    <w:rsid w:val="00065E52"/>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DF3"/>
    <w:rsid w:val="00086B96"/>
    <w:rsid w:val="000876CA"/>
    <w:rsid w:val="00090C5D"/>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B9A"/>
    <w:rsid w:val="000A6CBD"/>
    <w:rsid w:val="000B13E4"/>
    <w:rsid w:val="000B1758"/>
    <w:rsid w:val="000B48A6"/>
    <w:rsid w:val="000B4B4A"/>
    <w:rsid w:val="000B4B84"/>
    <w:rsid w:val="000B54C1"/>
    <w:rsid w:val="000B5774"/>
    <w:rsid w:val="000B5F7E"/>
    <w:rsid w:val="000B78CC"/>
    <w:rsid w:val="000C00E1"/>
    <w:rsid w:val="000C0742"/>
    <w:rsid w:val="000C1D36"/>
    <w:rsid w:val="000C42DD"/>
    <w:rsid w:val="000C473B"/>
    <w:rsid w:val="000C4E93"/>
    <w:rsid w:val="000C6CBB"/>
    <w:rsid w:val="000C6D76"/>
    <w:rsid w:val="000C6E31"/>
    <w:rsid w:val="000C7168"/>
    <w:rsid w:val="000D0344"/>
    <w:rsid w:val="000D3B23"/>
    <w:rsid w:val="000D468C"/>
    <w:rsid w:val="000D5EC9"/>
    <w:rsid w:val="000D6ED3"/>
    <w:rsid w:val="000D743E"/>
    <w:rsid w:val="000E02F8"/>
    <w:rsid w:val="000E0F00"/>
    <w:rsid w:val="000E13C9"/>
    <w:rsid w:val="000E259A"/>
    <w:rsid w:val="000E301C"/>
    <w:rsid w:val="000E3370"/>
    <w:rsid w:val="000E33C3"/>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0EA"/>
    <w:rsid w:val="001016A8"/>
    <w:rsid w:val="00101C00"/>
    <w:rsid w:val="00101C0B"/>
    <w:rsid w:val="001024B9"/>
    <w:rsid w:val="001053B5"/>
    <w:rsid w:val="0010634F"/>
    <w:rsid w:val="00107EFF"/>
    <w:rsid w:val="00107FF6"/>
    <w:rsid w:val="00110973"/>
    <w:rsid w:val="00110CE9"/>
    <w:rsid w:val="001119E6"/>
    <w:rsid w:val="00112C1D"/>
    <w:rsid w:val="001133CF"/>
    <w:rsid w:val="00113571"/>
    <w:rsid w:val="001145F1"/>
    <w:rsid w:val="00114EB0"/>
    <w:rsid w:val="00115CB3"/>
    <w:rsid w:val="001177F1"/>
    <w:rsid w:val="00117B42"/>
    <w:rsid w:val="00117E84"/>
    <w:rsid w:val="00121CA2"/>
    <w:rsid w:val="0012227B"/>
    <w:rsid w:val="001227E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3605"/>
    <w:rsid w:val="001551A2"/>
    <w:rsid w:val="0015526C"/>
    <w:rsid w:val="00157372"/>
    <w:rsid w:val="0016006A"/>
    <w:rsid w:val="0016044E"/>
    <w:rsid w:val="00160DF5"/>
    <w:rsid w:val="001636D5"/>
    <w:rsid w:val="00163EEC"/>
    <w:rsid w:val="00165014"/>
    <w:rsid w:val="001658F9"/>
    <w:rsid w:val="001679FD"/>
    <w:rsid w:val="0017100B"/>
    <w:rsid w:val="00171F68"/>
    <w:rsid w:val="00177369"/>
    <w:rsid w:val="001775C4"/>
    <w:rsid w:val="0017774B"/>
    <w:rsid w:val="001778DC"/>
    <w:rsid w:val="00177ED9"/>
    <w:rsid w:val="0018017B"/>
    <w:rsid w:val="00181069"/>
    <w:rsid w:val="00181B2E"/>
    <w:rsid w:val="00184EF7"/>
    <w:rsid w:val="00185A40"/>
    <w:rsid w:val="001860A0"/>
    <w:rsid w:val="00187E6A"/>
    <w:rsid w:val="0019227A"/>
    <w:rsid w:val="001941B9"/>
    <w:rsid w:val="00195650"/>
    <w:rsid w:val="00195B63"/>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466"/>
    <w:rsid w:val="001C6FB6"/>
    <w:rsid w:val="001D1842"/>
    <w:rsid w:val="001D1EAA"/>
    <w:rsid w:val="001D2965"/>
    <w:rsid w:val="001D4FA8"/>
    <w:rsid w:val="001D504E"/>
    <w:rsid w:val="001D5114"/>
    <w:rsid w:val="001D6F72"/>
    <w:rsid w:val="001D711B"/>
    <w:rsid w:val="001E0B57"/>
    <w:rsid w:val="001E0E99"/>
    <w:rsid w:val="001E1A4D"/>
    <w:rsid w:val="001E291D"/>
    <w:rsid w:val="001E3038"/>
    <w:rsid w:val="001E35AF"/>
    <w:rsid w:val="001E3784"/>
    <w:rsid w:val="001E41F3"/>
    <w:rsid w:val="001E4AA3"/>
    <w:rsid w:val="001E50E2"/>
    <w:rsid w:val="001E6065"/>
    <w:rsid w:val="001E7450"/>
    <w:rsid w:val="001E7D40"/>
    <w:rsid w:val="001F0201"/>
    <w:rsid w:val="001F0CA1"/>
    <w:rsid w:val="001F2538"/>
    <w:rsid w:val="001F2CFC"/>
    <w:rsid w:val="001F3BDF"/>
    <w:rsid w:val="001F45B1"/>
    <w:rsid w:val="001F46A0"/>
    <w:rsid w:val="001F5B17"/>
    <w:rsid w:val="001F6117"/>
    <w:rsid w:val="001F69AF"/>
    <w:rsid w:val="001F7188"/>
    <w:rsid w:val="001F7A97"/>
    <w:rsid w:val="00200340"/>
    <w:rsid w:val="002010F1"/>
    <w:rsid w:val="00201149"/>
    <w:rsid w:val="0020116F"/>
    <w:rsid w:val="0020138F"/>
    <w:rsid w:val="002023A8"/>
    <w:rsid w:val="002023FE"/>
    <w:rsid w:val="00203FCD"/>
    <w:rsid w:val="002042A1"/>
    <w:rsid w:val="002043E9"/>
    <w:rsid w:val="0020587A"/>
    <w:rsid w:val="00205B9C"/>
    <w:rsid w:val="00206268"/>
    <w:rsid w:val="00206464"/>
    <w:rsid w:val="00207048"/>
    <w:rsid w:val="00207793"/>
    <w:rsid w:val="002107B2"/>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767"/>
    <w:rsid w:val="00244D22"/>
    <w:rsid w:val="00245042"/>
    <w:rsid w:val="00245B23"/>
    <w:rsid w:val="0024641C"/>
    <w:rsid w:val="002466E9"/>
    <w:rsid w:val="00246DE8"/>
    <w:rsid w:val="0025022A"/>
    <w:rsid w:val="00250854"/>
    <w:rsid w:val="0025228F"/>
    <w:rsid w:val="002530BE"/>
    <w:rsid w:val="00253E55"/>
    <w:rsid w:val="00257195"/>
    <w:rsid w:val="002578D8"/>
    <w:rsid w:val="002608B8"/>
    <w:rsid w:val="00260AA0"/>
    <w:rsid w:val="002613A5"/>
    <w:rsid w:val="00263665"/>
    <w:rsid w:val="00267504"/>
    <w:rsid w:val="00267881"/>
    <w:rsid w:val="002701DE"/>
    <w:rsid w:val="00270C9C"/>
    <w:rsid w:val="002723F2"/>
    <w:rsid w:val="00272E63"/>
    <w:rsid w:val="00273821"/>
    <w:rsid w:val="00273FC1"/>
    <w:rsid w:val="00274E67"/>
    <w:rsid w:val="00275D12"/>
    <w:rsid w:val="00276CD2"/>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31FC"/>
    <w:rsid w:val="002B4A9F"/>
    <w:rsid w:val="002B4FDF"/>
    <w:rsid w:val="002B565A"/>
    <w:rsid w:val="002B59FE"/>
    <w:rsid w:val="002B689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1EA2"/>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4216"/>
    <w:rsid w:val="002E4B34"/>
    <w:rsid w:val="002E4C5F"/>
    <w:rsid w:val="002E5A45"/>
    <w:rsid w:val="002E5E1A"/>
    <w:rsid w:val="002E74B9"/>
    <w:rsid w:val="002F03BC"/>
    <w:rsid w:val="002F0C76"/>
    <w:rsid w:val="002F11D8"/>
    <w:rsid w:val="002F1E63"/>
    <w:rsid w:val="002F2EAA"/>
    <w:rsid w:val="002F4309"/>
    <w:rsid w:val="002F4657"/>
    <w:rsid w:val="002F55B2"/>
    <w:rsid w:val="002F6690"/>
    <w:rsid w:val="002F6B54"/>
    <w:rsid w:val="002F7A88"/>
    <w:rsid w:val="002F7C73"/>
    <w:rsid w:val="003001D0"/>
    <w:rsid w:val="00302459"/>
    <w:rsid w:val="003028B2"/>
    <w:rsid w:val="00303421"/>
    <w:rsid w:val="00303B20"/>
    <w:rsid w:val="00303DCF"/>
    <w:rsid w:val="003045A8"/>
    <w:rsid w:val="00305706"/>
    <w:rsid w:val="00305BD4"/>
    <w:rsid w:val="00305CDD"/>
    <w:rsid w:val="00305EE5"/>
    <w:rsid w:val="0030696B"/>
    <w:rsid w:val="0030705D"/>
    <w:rsid w:val="003079D9"/>
    <w:rsid w:val="00310AAF"/>
    <w:rsid w:val="00310F20"/>
    <w:rsid w:val="00311373"/>
    <w:rsid w:val="0031179C"/>
    <w:rsid w:val="00312856"/>
    <w:rsid w:val="00313CF0"/>
    <w:rsid w:val="0031543D"/>
    <w:rsid w:val="00315F2F"/>
    <w:rsid w:val="00316D12"/>
    <w:rsid w:val="00316D4A"/>
    <w:rsid w:val="003205DA"/>
    <w:rsid w:val="0032143F"/>
    <w:rsid w:val="00322BF9"/>
    <w:rsid w:val="00324C13"/>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3B9"/>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667"/>
    <w:rsid w:val="00361342"/>
    <w:rsid w:val="003616A4"/>
    <w:rsid w:val="003619DB"/>
    <w:rsid w:val="00361D36"/>
    <w:rsid w:val="003621A3"/>
    <w:rsid w:val="00363FF1"/>
    <w:rsid w:val="003643D7"/>
    <w:rsid w:val="0036503D"/>
    <w:rsid w:val="00366FA1"/>
    <w:rsid w:val="003675ED"/>
    <w:rsid w:val="00367757"/>
    <w:rsid w:val="0037004C"/>
    <w:rsid w:val="003703CB"/>
    <w:rsid w:val="0037119B"/>
    <w:rsid w:val="003716D6"/>
    <w:rsid w:val="00371EED"/>
    <w:rsid w:val="00372683"/>
    <w:rsid w:val="00372A7D"/>
    <w:rsid w:val="00373E10"/>
    <w:rsid w:val="0037427C"/>
    <w:rsid w:val="00376BF7"/>
    <w:rsid w:val="00380EBB"/>
    <w:rsid w:val="0038195B"/>
    <w:rsid w:val="003819DC"/>
    <w:rsid w:val="00381C0D"/>
    <w:rsid w:val="00381F6C"/>
    <w:rsid w:val="00382B41"/>
    <w:rsid w:val="00384193"/>
    <w:rsid w:val="00384EED"/>
    <w:rsid w:val="003852F4"/>
    <w:rsid w:val="003862C3"/>
    <w:rsid w:val="00387985"/>
    <w:rsid w:val="00390EDA"/>
    <w:rsid w:val="00391BE3"/>
    <w:rsid w:val="003923AD"/>
    <w:rsid w:val="00393597"/>
    <w:rsid w:val="00393AB1"/>
    <w:rsid w:val="00393C91"/>
    <w:rsid w:val="00393FA3"/>
    <w:rsid w:val="0039412B"/>
    <w:rsid w:val="00394CE1"/>
    <w:rsid w:val="00394CF5"/>
    <w:rsid w:val="0039604D"/>
    <w:rsid w:val="00396450"/>
    <w:rsid w:val="00397F59"/>
    <w:rsid w:val="003A138A"/>
    <w:rsid w:val="003A270F"/>
    <w:rsid w:val="003A2E9C"/>
    <w:rsid w:val="003A38B6"/>
    <w:rsid w:val="003A41E4"/>
    <w:rsid w:val="003A4FBE"/>
    <w:rsid w:val="003A4FE1"/>
    <w:rsid w:val="003A557A"/>
    <w:rsid w:val="003A6D6C"/>
    <w:rsid w:val="003B0EDC"/>
    <w:rsid w:val="003B2479"/>
    <w:rsid w:val="003B3117"/>
    <w:rsid w:val="003B3F3C"/>
    <w:rsid w:val="003B5800"/>
    <w:rsid w:val="003B7C7F"/>
    <w:rsid w:val="003C1312"/>
    <w:rsid w:val="003C16EF"/>
    <w:rsid w:val="003C3310"/>
    <w:rsid w:val="003C3971"/>
    <w:rsid w:val="003C45E2"/>
    <w:rsid w:val="003C4C53"/>
    <w:rsid w:val="003C5549"/>
    <w:rsid w:val="003C6D51"/>
    <w:rsid w:val="003C7216"/>
    <w:rsid w:val="003C79AC"/>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ABC"/>
    <w:rsid w:val="003E4051"/>
    <w:rsid w:val="003E47BE"/>
    <w:rsid w:val="003E4F0B"/>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5304"/>
    <w:rsid w:val="003F5516"/>
    <w:rsid w:val="003F6A59"/>
    <w:rsid w:val="00401714"/>
    <w:rsid w:val="0040734E"/>
    <w:rsid w:val="00407AFD"/>
    <w:rsid w:val="00407F9F"/>
    <w:rsid w:val="0041071A"/>
    <w:rsid w:val="004122AC"/>
    <w:rsid w:val="004131D9"/>
    <w:rsid w:val="0041390E"/>
    <w:rsid w:val="00414BB3"/>
    <w:rsid w:val="00415963"/>
    <w:rsid w:val="00415E54"/>
    <w:rsid w:val="0041669D"/>
    <w:rsid w:val="00416961"/>
    <w:rsid w:val="00416AC5"/>
    <w:rsid w:val="00416AC6"/>
    <w:rsid w:val="004201F7"/>
    <w:rsid w:val="00421EAB"/>
    <w:rsid w:val="00425F6E"/>
    <w:rsid w:val="0042735E"/>
    <w:rsid w:val="0043234A"/>
    <w:rsid w:val="00432B51"/>
    <w:rsid w:val="00433E63"/>
    <w:rsid w:val="00434388"/>
    <w:rsid w:val="00434BE2"/>
    <w:rsid w:val="00435C19"/>
    <w:rsid w:val="00435C42"/>
    <w:rsid w:val="00437000"/>
    <w:rsid w:val="00437731"/>
    <w:rsid w:val="00437A99"/>
    <w:rsid w:val="00442CDB"/>
    <w:rsid w:val="00444983"/>
    <w:rsid w:val="00444B1C"/>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2F2"/>
    <w:rsid w:val="0046072B"/>
    <w:rsid w:val="004607BA"/>
    <w:rsid w:val="00460A13"/>
    <w:rsid w:val="00460DFE"/>
    <w:rsid w:val="004619EF"/>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776CA"/>
    <w:rsid w:val="004822A4"/>
    <w:rsid w:val="00483D3E"/>
    <w:rsid w:val="00483ED7"/>
    <w:rsid w:val="004865D5"/>
    <w:rsid w:val="00486D5B"/>
    <w:rsid w:val="00487221"/>
    <w:rsid w:val="0048744D"/>
    <w:rsid w:val="004905B3"/>
    <w:rsid w:val="004911B8"/>
    <w:rsid w:val="0049166A"/>
    <w:rsid w:val="00491804"/>
    <w:rsid w:val="00491C2A"/>
    <w:rsid w:val="00491F4A"/>
    <w:rsid w:val="00492263"/>
    <w:rsid w:val="00492450"/>
    <w:rsid w:val="004938DF"/>
    <w:rsid w:val="00493D19"/>
    <w:rsid w:val="00494A79"/>
    <w:rsid w:val="00494E2C"/>
    <w:rsid w:val="00494E96"/>
    <w:rsid w:val="00495A6C"/>
    <w:rsid w:val="00496A9B"/>
    <w:rsid w:val="004976FE"/>
    <w:rsid w:val="00497D69"/>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4C38"/>
    <w:rsid w:val="004B5426"/>
    <w:rsid w:val="004B5622"/>
    <w:rsid w:val="004B5D82"/>
    <w:rsid w:val="004B734D"/>
    <w:rsid w:val="004B73E3"/>
    <w:rsid w:val="004C0003"/>
    <w:rsid w:val="004C14E9"/>
    <w:rsid w:val="004C2EC8"/>
    <w:rsid w:val="004C4FA4"/>
    <w:rsid w:val="004C5480"/>
    <w:rsid w:val="004C5649"/>
    <w:rsid w:val="004C702B"/>
    <w:rsid w:val="004C7485"/>
    <w:rsid w:val="004C7705"/>
    <w:rsid w:val="004C7FB5"/>
    <w:rsid w:val="004D028C"/>
    <w:rsid w:val="004D0597"/>
    <w:rsid w:val="004D221A"/>
    <w:rsid w:val="004D244F"/>
    <w:rsid w:val="004D5606"/>
    <w:rsid w:val="004D6157"/>
    <w:rsid w:val="004D679B"/>
    <w:rsid w:val="004D778B"/>
    <w:rsid w:val="004E118E"/>
    <w:rsid w:val="004E1D68"/>
    <w:rsid w:val="004E22D6"/>
    <w:rsid w:val="004E4276"/>
    <w:rsid w:val="004E4963"/>
    <w:rsid w:val="004E6920"/>
    <w:rsid w:val="004E7EAF"/>
    <w:rsid w:val="004F00CB"/>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68E"/>
    <w:rsid w:val="005058E9"/>
    <w:rsid w:val="00505CE7"/>
    <w:rsid w:val="00506CEC"/>
    <w:rsid w:val="00510F75"/>
    <w:rsid w:val="005125DD"/>
    <w:rsid w:val="00512908"/>
    <w:rsid w:val="0051371E"/>
    <w:rsid w:val="00513D75"/>
    <w:rsid w:val="00514BA5"/>
    <w:rsid w:val="00514D26"/>
    <w:rsid w:val="00516344"/>
    <w:rsid w:val="0051671D"/>
    <w:rsid w:val="00516808"/>
    <w:rsid w:val="00517496"/>
    <w:rsid w:val="005203B7"/>
    <w:rsid w:val="0052072E"/>
    <w:rsid w:val="005223F3"/>
    <w:rsid w:val="00522A48"/>
    <w:rsid w:val="00523857"/>
    <w:rsid w:val="00523B56"/>
    <w:rsid w:val="005242AC"/>
    <w:rsid w:val="005266F6"/>
    <w:rsid w:val="00526805"/>
    <w:rsid w:val="00526910"/>
    <w:rsid w:val="0052757D"/>
    <w:rsid w:val="0052770D"/>
    <w:rsid w:val="0052781C"/>
    <w:rsid w:val="00527855"/>
    <w:rsid w:val="005304D0"/>
    <w:rsid w:val="00530D6B"/>
    <w:rsid w:val="005312D3"/>
    <w:rsid w:val="00531843"/>
    <w:rsid w:val="00531C66"/>
    <w:rsid w:val="005325DA"/>
    <w:rsid w:val="00532F2B"/>
    <w:rsid w:val="005330EE"/>
    <w:rsid w:val="005357B3"/>
    <w:rsid w:val="005365BE"/>
    <w:rsid w:val="0054039F"/>
    <w:rsid w:val="0054059A"/>
    <w:rsid w:val="00541256"/>
    <w:rsid w:val="0054438E"/>
    <w:rsid w:val="005448F8"/>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9CE"/>
    <w:rsid w:val="005634D7"/>
    <w:rsid w:val="005646BF"/>
    <w:rsid w:val="005650FA"/>
    <w:rsid w:val="00566CF5"/>
    <w:rsid w:val="00566E95"/>
    <w:rsid w:val="0056791E"/>
    <w:rsid w:val="00567A03"/>
    <w:rsid w:val="00567EB3"/>
    <w:rsid w:val="00572558"/>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7167"/>
    <w:rsid w:val="005A0949"/>
    <w:rsid w:val="005A1501"/>
    <w:rsid w:val="005A2820"/>
    <w:rsid w:val="005A2C0F"/>
    <w:rsid w:val="005A3E77"/>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45E3"/>
    <w:rsid w:val="005F48CD"/>
    <w:rsid w:val="006001DE"/>
    <w:rsid w:val="0060045A"/>
    <w:rsid w:val="00600BB7"/>
    <w:rsid w:val="00600D9E"/>
    <w:rsid w:val="00600E5D"/>
    <w:rsid w:val="006012B9"/>
    <w:rsid w:val="00602547"/>
    <w:rsid w:val="00602FF4"/>
    <w:rsid w:val="006050BD"/>
    <w:rsid w:val="006050F1"/>
    <w:rsid w:val="006060C3"/>
    <w:rsid w:val="00606F7E"/>
    <w:rsid w:val="00607113"/>
    <w:rsid w:val="0060743C"/>
    <w:rsid w:val="0060769F"/>
    <w:rsid w:val="006079DE"/>
    <w:rsid w:val="00610758"/>
    <w:rsid w:val="0061083C"/>
    <w:rsid w:val="0061138D"/>
    <w:rsid w:val="00611465"/>
    <w:rsid w:val="00611D7A"/>
    <w:rsid w:val="006136FE"/>
    <w:rsid w:val="006142A8"/>
    <w:rsid w:val="00614878"/>
    <w:rsid w:val="00614FF0"/>
    <w:rsid w:val="00615149"/>
    <w:rsid w:val="00615C80"/>
    <w:rsid w:val="00615EEE"/>
    <w:rsid w:val="00616A15"/>
    <w:rsid w:val="006209D5"/>
    <w:rsid w:val="00620B0F"/>
    <w:rsid w:val="00621D26"/>
    <w:rsid w:val="00622936"/>
    <w:rsid w:val="00623FA7"/>
    <w:rsid w:val="006250B1"/>
    <w:rsid w:val="00625940"/>
    <w:rsid w:val="00625CEF"/>
    <w:rsid w:val="00625D09"/>
    <w:rsid w:val="00626519"/>
    <w:rsid w:val="0062772E"/>
    <w:rsid w:val="00627890"/>
    <w:rsid w:val="00627D95"/>
    <w:rsid w:val="00630165"/>
    <w:rsid w:val="006302A6"/>
    <w:rsid w:val="00630D2E"/>
    <w:rsid w:val="00631181"/>
    <w:rsid w:val="0063381B"/>
    <w:rsid w:val="00634784"/>
    <w:rsid w:val="00634C72"/>
    <w:rsid w:val="00635D14"/>
    <w:rsid w:val="006407A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127D"/>
    <w:rsid w:val="00652E41"/>
    <w:rsid w:val="00652EF1"/>
    <w:rsid w:val="00653D47"/>
    <w:rsid w:val="0065407D"/>
    <w:rsid w:val="00654A1C"/>
    <w:rsid w:val="00655AD7"/>
    <w:rsid w:val="00656298"/>
    <w:rsid w:val="0066041B"/>
    <w:rsid w:val="00661F1C"/>
    <w:rsid w:val="006622D4"/>
    <w:rsid w:val="006631D6"/>
    <w:rsid w:val="006631D9"/>
    <w:rsid w:val="006636B3"/>
    <w:rsid w:val="006645D7"/>
    <w:rsid w:val="00664C7E"/>
    <w:rsid w:val="006655CA"/>
    <w:rsid w:val="0066605D"/>
    <w:rsid w:val="006660C6"/>
    <w:rsid w:val="00666395"/>
    <w:rsid w:val="00666952"/>
    <w:rsid w:val="00666C1F"/>
    <w:rsid w:val="00666DD8"/>
    <w:rsid w:val="006705F0"/>
    <w:rsid w:val="00670B5A"/>
    <w:rsid w:val="00670B7C"/>
    <w:rsid w:val="00670E91"/>
    <w:rsid w:val="00671283"/>
    <w:rsid w:val="006716A1"/>
    <w:rsid w:val="006726F6"/>
    <w:rsid w:val="00673B4E"/>
    <w:rsid w:val="00673F38"/>
    <w:rsid w:val="00674A87"/>
    <w:rsid w:val="00675731"/>
    <w:rsid w:val="006765FF"/>
    <w:rsid w:val="00681497"/>
    <w:rsid w:val="0068161B"/>
    <w:rsid w:val="006824B9"/>
    <w:rsid w:val="00683590"/>
    <w:rsid w:val="00683A98"/>
    <w:rsid w:val="0068422A"/>
    <w:rsid w:val="006853A9"/>
    <w:rsid w:val="00685676"/>
    <w:rsid w:val="00685CB5"/>
    <w:rsid w:val="006874E6"/>
    <w:rsid w:val="0068764D"/>
    <w:rsid w:val="006906C2"/>
    <w:rsid w:val="00690D77"/>
    <w:rsid w:val="00693118"/>
    <w:rsid w:val="00693A52"/>
    <w:rsid w:val="00694F02"/>
    <w:rsid w:val="00696285"/>
    <w:rsid w:val="006A2FC8"/>
    <w:rsid w:val="006A443D"/>
    <w:rsid w:val="006A4BC4"/>
    <w:rsid w:val="006A664F"/>
    <w:rsid w:val="006A6838"/>
    <w:rsid w:val="006A6996"/>
    <w:rsid w:val="006A6C31"/>
    <w:rsid w:val="006A74A5"/>
    <w:rsid w:val="006B007A"/>
    <w:rsid w:val="006B10CD"/>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73D1"/>
    <w:rsid w:val="006C76A0"/>
    <w:rsid w:val="006D0082"/>
    <w:rsid w:val="006D059C"/>
    <w:rsid w:val="006D0D08"/>
    <w:rsid w:val="006D1E5C"/>
    <w:rsid w:val="006D3886"/>
    <w:rsid w:val="006D39AD"/>
    <w:rsid w:val="006D610E"/>
    <w:rsid w:val="006D6B98"/>
    <w:rsid w:val="006D6FC7"/>
    <w:rsid w:val="006E0194"/>
    <w:rsid w:val="006E0B67"/>
    <w:rsid w:val="006E0CB0"/>
    <w:rsid w:val="006E0DB9"/>
    <w:rsid w:val="006E208E"/>
    <w:rsid w:val="006E21E4"/>
    <w:rsid w:val="006E3A1C"/>
    <w:rsid w:val="006E46B3"/>
    <w:rsid w:val="006E4FF2"/>
    <w:rsid w:val="006E59BA"/>
    <w:rsid w:val="006E7462"/>
    <w:rsid w:val="006F1D76"/>
    <w:rsid w:val="006F41D4"/>
    <w:rsid w:val="006F495F"/>
    <w:rsid w:val="006F4DAF"/>
    <w:rsid w:val="006F6366"/>
    <w:rsid w:val="006F6858"/>
    <w:rsid w:val="006F6BA0"/>
    <w:rsid w:val="006F6EDB"/>
    <w:rsid w:val="006F6F67"/>
    <w:rsid w:val="006F70C1"/>
    <w:rsid w:val="006F736D"/>
    <w:rsid w:val="006F7573"/>
    <w:rsid w:val="006F77CF"/>
    <w:rsid w:val="006F7ADA"/>
    <w:rsid w:val="00700BE2"/>
    <w:rsid w:val="007011A6"/>
    <w:rsid w:val="00702276"/>
    <w:rsid w:val="00702820"/>
    <w:rsid w:val="0070283A"/>
    <w:rsid w:val="00703478"/>
    <w:rsid w:val="00703CB7"/>
    <w:rsid w:val="00703F1B"/>
    <w:rsid w:val="00704F17"/>
    <w:rsid w:val="00705FA1"/>
    <w:rsid w:val="007060C9"/>
    <w:rsid w:val="00707064"/>
    <w:rsid w:val="00707D3A"/>
    <w:rsid w:val="0071066D"/>
    <w:rsid w:val="007114A8"/>
    <w:rsid w:val="007125B7"/>
    <w:rsid w:val="00712AA2"/>
    <w:rsid w:val="00712F5A"/>
    <w:rsid w:val="007132D7"/>
    <w:rsid w:val="007136BA"/>
    <w:rsid w:val="00713E47"/>
    <w:rsid w:val="007156C4"/>
    <w:rsid w:val="007174EE"/>
    <w:rsid w:val="00720AED"/>
    <w:rsid w:val="00720CE4"/>
    <w:rsid w:val="00721BB2"/>
    <w:rsid w:val="007237E8"/>
    <w:rsid w:val="00725F59"/>
    <w:rsid w:val="00726AB8"/>
    <w:rsid w:val="00726B94"/>
    <w:rsid w:val="007277FE"/>
    <w:rsid w:val="007304DD"/>
    <w:rsid w:val="007310C2"/>
    <w:rsid w:val="007310F2"/>
    <w:rsid w:val="007316DF"/>
    <w:rsid w:val="007320A6"/>
    <w:rsid w:val="00732E28"/>
    <w:rsid w:val="00733013"/>
    <w:rsid w:val="00733D85"/>
    <w:rsid w:val="007359D7"/>
    <w:rsid w:val="007378BA"/>
    <w:rsid w:val="00741783"/>
    <w:rsid w:val="0074377F"/>
    <w:rsid w:val="00744523"/>
    <w:rsid w:val="007463D2"/>
    <w:rsid w:val="007464A1"/>
    <w:rsid w:val="00746768"/>
    <w:rsid w:val="007468E1"/>
    <w:rsid w:val="00746DAC"/>
    <w:rsid w:val="007503B9"/>
    <w:rsid w:val="007506E8"/>
    <w:rsid w:val="0075286F"/>
    <w:rsid w:val="00752ECA"/>
    <w:rsid w:val="0075355B"/>
    <w:rsid w:val="007538D1"/>
    <w:rsid w:val="00753A02"/>
    <w:rsid w:val="0075402D"/>
    <w:rsid w:val="00754097"/>
    <w:rsid w:val="00754289"/>
    <w:rsid w:val="00760C68"/>
    <w:rsid w:val="00761AD4"/>
    <w:rsid w:val="00762436"/>
    <w:rsid w:val="007626CC"/>
    <w:rsid w:val="00764D85"/>
    <w:rsid w:val="007652AA"/>
    <w:rsid w:val="00765492"/>
    <w:rsid w:val="007659A7"/>
    <w:rsid w:val="00766154"/>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61A"/>
    <w:rsid w:val="007806CB"/>
    <w:rsid w:val="00780B3C"/>
    <w:rsid w:val="00781E7F"/>
    <w:rsid w:val="00783003"/>
    <w:rsid w:val="007831B1"/>
    <w:rsid w:val="007831B3"/>
    <w:rsid w:val="00783370"/>
    <w:rsid w:val="00783551"/>
    <w:rsid w:val="0078572C"/>
    <w:rsid w:val="00785739"/>
    <w:rsid w:val="007872B9"/>
    <w:rsid w:val="00790E01"/>
    <w:rsid w:val="007922F8"/>
    <w:rsid w:val="00792CD6"/>
    <w:rsid w:val="007931BA"/>
    <w:rsid w:val="0079341B"/>
    <w:rsid w:val="0079442D"/>
    <w:rsid w:val="00794441"/>
    <w:rsid w:val="00794BDB"/>
    <w:rsid w:val="00795E88"/>
    <w:rsid w:val="00796155"/>
    <w:rsid w:val="00796522"/>
    <w:rsid w:val="00796B2F"/>
    <w:rsid w:val="00797D98"/>
    <w:rsid w:val="007A0D91"/>
    <w:rsid w:val="007A1AA3"/>
    <w:rsid w:val="007A4999"/>
    <w:rsid w:val="007A4CD1"/>
    <w:rsid w:val="007A59C8"/>
    <w:rsid w:val="007A6450"/>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50C2"/>
    <w:rsid w:val="007C6B55"/>
    <w:rsid w:val="007D0CCA"/>
    <w:rsid w:val="007D10FB"/>
    <w:rsid w:val="007D1337"/>
    <w:rsid w:val="007D180C"/>
    <w:rsid w:val="007D1F62"/>
    <w:rsid w:val="007D35B8"/>
    <w:rsid w:val="007D36E2"/>
    <w:rsid w:val="007D36F1"/>
    <w:rsid w:val="007D3E81"/>
    <w:rsid w:val="007D4827"/>
    <w:rsid w:val="007D54F5"/>
    <w:rsid w:val="007D6BB2"/>
    <w:rsid w:val="007D7072"/>
    <w:rsid w:val="007E06D6"/>
    <w:rsid w:val="007E2488"/>
    <w:rsid w:val="007E2D98"/>
    <w:rsid w:val="007E3B8F"/>
    <w:rsid w:val="007E54F1"/>
    <w:rsid w:val="007E6913"/>
    <w:rsid w:val="007E7A9B"/>
    <w:rsid w:val="007E7FB5"/>
    <w:rsid w:val="007E7FB6"/>
    <w:rsid w:val="007F09F7"/>
    <w:rsid w:val="007F0E6B"/>
    <w:rsid w:val="007F11E8"/>
    <w:rsid w:val="007F12FC"/>
    <w:rsid w:val="007F1803"/>
    <w:rsid w:val="007F2759"/>
    <w:rsid w:val="007F4E74"/>
    <w:rsid w:val="007F749D"/>
    <w:rsid w:val="007F750E"/>
    <w:rsid w:val="007F7A8D"/>
    <w:rsid w:val="007F7ACC"/>
    <w:rsid w:val="00801B02"/>
    <w:rsid w:val="00801FC0"/>
    <w:rsid w:val="00804A7D"/>
    <w:rsid w:val="00805DE7"/>
    <w:rsid w:val="00807E69"/>
    <w:rsid w:val="00811450"/>
    <w:rsid w:val="00811EB2"/>
    <w:rsid w:val="00812750"/>
    <w:rsid w:val="00814156"/>
    <w:rsid w:val="00814BA3"/>
    <w:rsid w:val="00815FB3"/>
    <w:rsid w:val="0081673E"/>
    <w:rsid w:val="00822F59"/>
    <w:rsid w:val="0082326C"/>
    <w:rsid w:val="008236A1"/>
    <w:rsid w:val="00824E9B"/>
    <w:rsid w:val="00826975"/>
    <w:rsid w:val="00827178"/>
    <w:rsid w:val="00827BE8"/>
    <w:rsid w:val="0083056C"/>
    <w:rsid w:val="008316E1"/>
    <w:rsid w:val="0083245A"/>
    <w:rsid w:val="00832EE8"/>
    <w:rsid w:val="00833076"/>
    <w:rsid w:val="008341DD"/>
    <w:rsid w:val="00835204"/>
    <w:rsid w:val="0083568C"/>
    <w:rsid w:val="00835A33"/>
    <w:rsid w:val="0083606D"/>
    <w:rsid w:val="00836974"/>
    <w:rsid w:val="00837EEB"/>
    <w:rsid w:val="008421D3"/>
    <w:rsid w:val="00842F5B"/>
    <w:rsid w:val="00843B67"/>
    <w:rsid w:val="0084422A"/>
    <w:rsid w:val="00847222"/>
    <w:rsid w:val="00847343"/>
    <w:rsid w:val="00847778"/>
    <w:rsid w:val="00850C8D"/>
    <w:rsid w:val="00850DCF"/>
    <w:rsid w:val="00852232"/>
    <w:rsid w:val="008525BE"/>
    <w:rsid w:val="008537FC"/>
    <w:rsid w:val="00855352"/>
    <w:rsid w:val="00855B68"/>
    <w:rsid w:val="0085631C"/>
    <w:rsid w:val="0085641C"/>
    <w:rsid w:val="00861A76"/>
    <w:rsid w:val="00864824"/>
    <w:rsid w:val="0086790E"/>
    <w:rsid w:val="00870263"/>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6E7"/>
    <w:rsid w:val="00892701"/>
    <w:rsid w:val="008946B7"/>
    <w:rsid w:val="00897872"/>
    <w:rsid w:val="00897C86"/>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47BD"/>
    <w:rsid w:val="008B6BBE"/>
    <w:rsid w:val="008B709E"/>
    <w:rsid w:val="008B751B"/>
    <w:rsid w:val="008B7DE4"/>
    <w:rsid w:val="008C0349"/>
    <w:rsid w:val="008C0CFF"/>
    <w:rsid w:val="008C195A"/>
    <w:rsid w:val="008C1E98"/>
    <w:rsid w:val="008C2871"/>
    <w:rsid w:val="008C320D"/>
    <w:rsid w:val="008C4F9C"/>
    <w:rsid w:val="008C53F3"/>
    <w:rsid w:val="008C7645"/>
    <w:rsid w:val="008C7D0D"/>
    <w:rsid w:val="008D0901"/>
    <w:rsid w:val="008D1335"/>
    <w:rsid w:val="008D165E"/>
    <w:rsid w:val="008D1CC6"/>
    <w:rsid w:val="008D2C81"/>
    <w:rsid w:val="008D3691"/>
    <w:rsid w:val="008D54BC"/>
    <w:rsid w:val="008D54D3"/>
    <w:rsid w:val="008D5FF6"/>
    <w:rsid w:val="008D62F9"/>
    <w:rsid w:val="008D665E"/>
    <w:rsid w:val="008D6B8C"/>
    <w:rsid w:val="008E0711"/>
    <w:rsid w:val="008E0875"/>
    <w:rsid w:val="008E120E"/>
    <w:rsid w:val="008E317F"/>
    <w:rsid w:val="008E43BF"/>
    <w:rsid w:val="008E48DB"/>
    <w:rsid w:val="008E4D98"/>
    <w:rsid w:val="008E5CF9"/>
    <w:rsid w:val="008E6F56"/>
    <w:rsid w:val="008E726F"/>
    <w:rsid w:val="008E79CD"/>
    <w:rsid w:val="008E7DBA"/>
    <w:rsid w:val="008F061F"/>
    <w:rsid w:val="008F1A94"/>
    <w:rsid w:val="008F1DD5"/>
    <w:rsid w:val="008F23B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0FA3"/>
    <w:rsid w:val="009029D6"/>
    <w:rsid w:val="009031F0"/>
    <w:rsid w:val="009035C5"/>
    <w:rsid w:val="00904758"/>
    <w:rsid w:val="009051C8"/>
    <w:rsid w:val="00905409"/>
    <w:rsid w:val="00905879"/>
    <w:rsid w:val="00905B1B"/>
    <w:rsid w:val="00906320"/>
    <w:rsid w:val="0090710A"/>
    <w:rsid w:val="00910004"/>
    <w:rsid w:val="00910153"/>
    <w:rsid w:val="009118A8"/>
    <w:rsid w:val="0091623F"/>
    <w:rsid w:val="00916611"/>
    <w:rsid w:val="009173E2"/>
    <w:rsid w:val="0091792E"/>
    <w:rsid w:val="00920974"/>
    <w:rsid w:val="009222D0"/>
    <w:rsid w:val="00922CDE"/>
    <w:rsid w:val="00922D7C"/>
    <w:rsid w:val="009239BB"/>
    <w:rsid w:val="0092516E"/>
    <w:rsid w:val="00926114"/>
    <w:rsid w:val="00926500"/>
    <w:rsid w:val="00927857"/>
    <w:rsid w:val="00930D5D"/>
    <w:rsid w:val="00931E63"/>
    <w:rsid w:val="00932114"/>
    <w:rsid w:val="00932976"/>
    <w:rsid w:val="00932AE1"/>
    <w:rsid w:val="00933D96"/>
    <w:rsid w:val="009345CA"/>
    <w:rsid w:val="00934889"/>
    <w:rsid w:val="00935166"/>
    <w:rsid w:val="00935487"/>
    <w:rsid w:val="009363EA"/>
    <w:rsid w:val="0093654F"/>
    <w:rsid w:val="009371E0"/>
    <w:rsid w:val="0093757B"/>
    <w:rsid w:val="00937F89"/>
    <w:rsid w:val="0094074A"/>
    <w:rsid w:val="00941E93"/>
    <w:rsid w:val="009421CA"/>
    <w:rsid w:val="00942DAE"/>
    <w:rsid w:val="00942E79"/>
    <w:rsid w:val="00943179"/>
    <w:rsid w:val="009433E5"/>
    <w:rsid w:val="00943AAA"/>
    <w:rsid w:val="00946A28"/>
    <w:rsid w:val="00950BB4"/>
    <w:rsid w:val="00951AC2"/>
    <w:rsid w:val="00951CDA"/>
    <w:rsid w:val="00952DFC"/>
    <w:rsid w:val="009532B9"/>
    <w:rsid w:val="00954A16"/>
    <w:rsid w:val="0095501B"/>
    <w:rsid w:val="00955911"/>
    <w:rsid w:val="00955C83"/>
    <w:rsid w:val="00955EC7"/>
    <w:rsid w:val="009568A6"/>
    <w:rsid w:val="00956F3A"/>
    <w:rsid w:val="00957C93"/>
    <w:rsid w:val="009612A1"/>
    <w:rsid w:val="009619D3"/>
    <w:rsid w:val="00962CA1"/>
    <w:rsid w:val="00962CA4"/>
    <w:rsid w:val="0096325D"/>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D51"/>
    <w:rsid w:val="00997F4A"/>
    <w:rsid w:val="009A0894"/>
    <w:rsid w:val="009A1344"/>
    <w:rsid w:val="009A1557"/>
    <w:rsid w:val="009A184B"/>
    <w:rsid w:val="009A1CFA"/>
    <w:rsid w:val="009A265A"/>
    <w:rsid w:val="009A5309"/>
    <w:rsid w:val="009A5C52"/>
    <w:rsid w:val="009A5CEE"/>
    <w:rsid w:val="009A676C"/>
    <w:rsid w:val="009A722D"/>
    <w:rsid w:val="009A7356"/>
    <w:rsid w:val="009B05A8"/>
    <w:rsid w:val="009B261B"/>
    <w:rsid w:val="009B2BFE"/>
    <w:rsid w:val="009B3419"/>
    <w:rsid w:val="009B350B"/>
    <w:rsid w:val="009B3D69"/>
    <w:rsid w:val="009B5128"/>
    <w:rsid w:val="009B6FA1"/>
    <w:rsid w:val="009C04F8"/>
    <w:rsid w:val="009C3424"/>
    <w:rsid w:val="009C35AE"/>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97A"/>
    <w:rsid w:val="009F09B5"/>
    <w:rsid w:val="009F26E0"/>
    <w:rsid w:val="009F3EBC"/>
    <w:rsid w:val="009F458D"/>
    <w:rsid w:val="009F5C3D"/>
    <w:rsid w:val="009F6450"/>
    <w:rsid w:val="00A007DD"/>
    <w:rsid w:val="00A03496"/>
    <w:rsid w:val="00A0622B"/>
    <w:rsid w:val="00A06BFC"/>
    <w:rsid w:val="00A07243"/>
    <w:rsid w:val="00A07ACA"/>
    <w:rsid w:val="00A10593"/>
    <w:rsid w:val="00A10749"/>
    <w:rsid w:val="00A11DA6"/>
    <w:rsid w:val="00A140CC"/>
    <w:rsid w:val="00A141D5"/>
    <w:rsid w:val="00A142CE"/>
    <w:rsid w:val="00A16333"/>
    <w:rsid w:val="00A16A4C"/>
    <w:rsid w:val="00A21B43"/>
    <w:rsid w:val="00A21B51"/>
    <w:rsid w:val="00A21FB9"/>
    <w:rsid w:val="00A22E52"/>
    <w:rsid w:val="00A243EE"/>
    <w:rsid w:val="00A2699F"/>
    <w:rsid w:val="00A26A1E"/>
    <w:rsid w:val="00A26D65"/>
    <w:rsid w:val="00A26DE2"/>
    <w:rsid w:val="00A2785C"/>
    <w:rsid w:val="00A30656"/>
    <w:rsid w:val="00A3088A"/>
    <w:rsid w:val="00A3180A"/>
    <w:rsid w:val="00A31AC6"/>
    <w:rsid w:val="00A3274F"/>
    <w:rsid w:val="00A33D68"/>
    <w:rsid w:val="00A34915"/>
    <w:rsid w:val="00A36038"/>
    <w:rsid w:val="00A36EF0"/>
    <w:rsid w:val="00A376FA"/>
    <w:rsid w:val="00A37B48"/>
    <w:rsid w:val="00A402CF"/>
    <w:rsid w:val="00A40FC0"/>
    <w:rsid w:val="00A413AC"/>
    <w:rsid w:val="00A4419F"/>
    <w:rsid w:val="00A4422C"/>
    <w:rsid w:val="00A44325"/>
    <w:rsid w:val="00A44685"/>
    <w:rsid w:val="00A4518B"/>
    <w:rsid w:val="00A45996"/>
    <w:rsid w:val="00A46784"/>
    <w:rsid w:val="00A47E70"/>
    <w:rsid w:val="00A507A1"/>
    <w:rsid w:val="00A52EE7"/>
    <w:rsid w:val="00A53BB6"/>
    <w:rsid w:val="00A55128"/>
    <w:rsid w:val="00A55835"/>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5B7C"/>
    <w:rsid w:val="00A7613D"/>
    <w:rsid w:val="00A766B8"/>
    <w:rsid w:val="00A76980"/>
    <w:rsid w:val="00A7712F"/>
    <w:rsid w:val="00A77DD6"/>
    <w:rsid w:val="00A8149B"/>
    <w:rsid w:val="00A81C95"/>
    <w:rsid w:val="00A8205B"/>
    <w:rsid w:val="00A8255B"/>
    <w:rsid w:val="00A82733"/>
    <w:rsid w:val="00A83254"/>
    <w:rsid w:val="00A83501"/>
    <w:rsid w:val="00A83E7D"/>
    <w:rsid w:val="00A83ED4"/>
    <w:rsid w:val="00A863EE"/>
    <w:rsid w:val="00A86B0C"/>
    <w:rsid w:val="00A879FD"/>
    <w:rsid w:val="00A90C35"/>
    <w:rsid w:val="00A928E5"/>
    <w:rsid w:val="00A934D0"/>
    <w:rsid w:val="00A9431E"/>
    <w:rsid w:val="00A94392"/>
    <w:rsid w:val="00A955ED"/>
    <w:rsid w:val="00A95754"/>
    <w:rsid w:val="00A9721B"/>
    <w:rsid w:val="00A97670"/>
    <w:rsid w:val="00AA0F21"/>
    <w:rsid w:val="00AA1F03"/>
    <w:rsid w:val="00AA3A7F"/>
    <w:rsid w:val="00AA4C5E"/>
    <w:rsid w:val="00AA73DA"/>
    <w:rsid w:val="00AA7DFA"/>
    <w:rsid w:val="00AB057B"/>
    <w:rsid w:val="00AB2179"/>
    <w:rsid w:val="00AB3629"/>
    <w:rsid w:val="00AB37CE"/>
    <w:rsid w:val="00AB4399"/>
    <w:rsid w:val="00AB4891"/>
    <w:rsid w:val="00AB502E"/>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1468"/>
    <w:rsid w:val="00AD1841"/>
    <w:rsid w:val="00AD3B6A"/>
    <w:rsid w:val="00AD42E1"/>
    <w:rsid w:val="00AD482F"/>
    <w:rsid w:val="00AD530D"/>
    <w:rsid w:val="00AD5F30"/>
    <w:rsid w:val="00AE0052"/>
    <w:rsid w:val="00AE06B8"/>
    <w:rsid w:val="00AE0CB6"/>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D09"/>
    <w:rsid w:val="00B30FCA"/>
    <w:rsid w:val="00B31E2B"/>
    <w:rsid w:val="00B31ED2"/>
    <w:rsid w:val="00B32A6E"/>
    <w:rsid w:val="00B3360C"/>
    <w:rsid w:val="00B347E8"/>
    <w:rsid w:val="00B34A43"/>
    <w:rsid w:val="00B34FB1"/>
    <w:rsid w:val="00B35CC0"/>
    <w:rsid w:val="00B36B30"/>
    <w:rsid w:val="00B372C4"/>
    <w:rsid w:val="00B37DFA"/>
    <w:rsid w:val="00B40BA4"/>
    <w:rsid w:val="00B41217"/>
    <w:rsid w:val="00B42D10"/>
    <w:rsid w:val="00B4374E"/>
    <w:rsid w:val="00B44656"/>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29D5"/>
    <w:rsid w:val="00B6301B"/>
    <w:rsid w:val="00B64038"/>
    <w:rsid w:val="00B642D5"/>
    <w:rsid w:val="00B65EF1"/>
    <w:rsid w:val="00B667C5"/>
    <w:rsid w:val="00B66BF4"/>
    <w:rsid w:val="00B67811"/>
    <w:rsid w:val="00B67DA8"/>
    <w:rsid w:val="00B67E51"/>
    <w:rsid w:val="00B67FC0"/>
    <w:rsid w:val="00B704CB"/>
    <w:rsid w:val="00B705D1"/>
    <w:rsid w:val="00B718B2"/>
    <w:rsid w:val="00B71F0A"/>
    <w:rsid w:val="00B7221F"/>
    <w:rsid w:val="00B7529A"/>
    <w:rsid w:val="00B75A4C"/>
    <w:rsid w:val="00B76701"/>
    <w:rsid w:val="00B77537"/>
    <w:rsid w:val="00B77F3E"/>
    <w:rsid w:val="00B8063A"/>
    <w:rsid w:val="00B808CE"/>
    <w:rsid w:val="00B80FF9"/>
    <w:rsid w:val="00B8244B"/>
    <w:rsid w:val="00B82661"/>
    <w:rsid w:val="00B829F1"/>
    <w:rsid w:val="00B82E23"/>
    <w:rsid w:val="00B83BC7"/>
    <w:rsid w:val="00B83F14"/>
    <w:rsid w:val="00B84852"/>
    <w:rsid w:val="00B85142"/>
    <w:rsid w:val="00B86576"/>
    <w:rsid w:val="00B87873"/>
    <w:rsid w:val="00B90FD9"/>
    <w:rsid w:val="00B91C80"/>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A6EF1"/>
    <w:rsid w:val="00BA72AC"/>
    <w:rsid w:val="00BB2B55"/>
    <w:rsid w:val="00BB399B"/>
    <w:rsid w:val="00BB4CBA"/>
    <w:rsid w:val="00BB5613"/>
    <w:rsid w:val="00BB6430"/>
    <w:rsid w:val="00BB6752"/>
    <w:rsid w:val="00BB6A53"/>
    <w:rsid w:val="00BB6B31"/>
    <w:rsid w:val="00BB7E54"/>
    <w:rsid w:val="00BC15A4"/>
    <w:rsid w:val="00BC35B5"/>
    <w:rsid w:val="00BC39FF"/>
    <w:rsid w:val="00BC40D3"/>
    <w:rsid w:val="00BC4269"/>
    <w:rsid w:val="00BC4286"/>
    <w:rsid w:val="00BC49E6"/>
    <w:rsid w:val="00BC5AC5"/>
    <w:rsid w:val="00BC5D8C"/>
    <w:rsid w:val="00BC6C4E"/>
    <w:rsid w:val="00BC6CA4"/>
    <w:rsid w:val="00BC7455"/>
    <w:rsid w:val="00BD0E0B"/>
    <w:rsid w:val="00BD1E23"/>
    <w:rsid w:val="00BD279D"/>
    <w:rsid w:val="00BD36FB"/>
    <w:rsid w:val="00BD37E6"/>
    <w:rsid w:val="00BD5AE8"/>
    <w:rsid w:val="00BD5E3C"/>
    <w:rsid w:val="00BD5FF5"/>
    <w:rsid w:val="00BD64F8"/>
    <w:rsid w:val="00BD6937"/>
    <w:rsid w:val="00BE0351"/>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4490"/>
    <w:rsid w:val="00BF6172"/>
    <w:rsid w:val="00BF639F"/>
    <w:rsid w:val="00BF6C8A"/>
    <w:rsid w:val="00BF77D6"/>
    <w:rsid w:val="00C0058C"/>
    <w:rsid w:val="00C01590"/>
    <w:rsid w:val="00C04139"/>
    <w:rsid w:val="00C042AF"/>
    <w:rsid w:val="00C049A2"/>
    <w:rsid w:val="00C06126"/>
    <w:rsid w:val="00C06C41"/>
    <w:rsid w:val="00C11121"/>
    <w:rsid w:val="00C11712"/>
    <w:rsid w:val="00C118E0"/>
    <w:rsid w:val="00C12878"/>
    <w:rsid w:val="00C136A6"/>
    <w:rsid w:val="00C138D6"/>
    <w:rsid w:val="00C168C6"/>
    <w:rsid w:val="00C16A56"/>
    <w:rsid w:val="00C170B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2BB"/>
    <w:rsid w:val="00C42184"/>
    <w:rsid w:val="00C423C6"/>
    <w:rsid w:val="00C42D5A"/>
    <w:rsid w:val="00C42D6F"/>
    <w:rsid w:val="00C4539D"/>
    <w:rsid w:val="00C45879"/>
    <w:rsid w:val="00C458AC"/>
    <w:rsid w:val="00C460F5"/>
    <w:rsid w:val="00C4727C"/>
    <w:rsid w:val="00C47B57"/>
    <w:rsid w:val="00C47F2E"/>
    <w:rsid w:val="00C5220A"/>
    <w:rsid w:val="00C52735"/>
    <w:rsid w:val="00C52CA4"/>
    <w:rsid w:val="00C5442E"/>
    <w:rsid w:val="00C545FF"/>
    <w:rsid w:val="00C54BEB"/>
    <w:rsid w:val="00C5571D"/>
    <w:rsid w:val="00C55D04"/>
    <w:rsid w:val="00C56631"/>
    <w:rsid w:val="00C604D9"/>
    <w:rsid w:val="00C613E6"/>
    <w:rsid w:val="00C61C41"/>
    <w:rsid w:val="00C6290F"/>
    <w:rsid w:val="00C63735"/>
    <w:rsid w:val="00C639ED"/>
    <w:rsid w:val="00C63C1A"/>
    <w:rsid w:val="00C64816"/>
    <w:rsid w:val="00C64A0F"/>
    <w:rsid w:val="00C66CDD"/>
    <w:rsid w:val="00C673DC"/>
    <w:rsid w:val="00C67B92"/>
    <w:rsid w:val="00C70A75"/>
    <w:rsid w:val="00C70F1D"/>
    <w:rsid w:val="00C716CA"/>
    <w:rsid w:val="00C71E0A"/>
    <w:rsid w:val="00C73295"/>
    <w:rsid w:val="00C73C42"/>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2086"/>
    <w:rsid w:val="00C92420"/>
    <w:rsid w:val="00C93080"/>
    <w:rsid w:val="00C950C5"/>
    <w:rsid w:val="00C95985"/>
    <w:rsid w:val="00C95DEA"/>
    <w:rsid w:val="00C95E7A"/>
    <w:rsid w:val="00CA115B"/>
    <w:rsid w:val="00CA18DA"/>
    <w:rsid w:val="00CA1F55"/>
    <w:rsid w:val="00CA2621"/>
    <w:rsid w:val="00CA2A5F"/>
    <w:rsid w:val="00CA2ED0"/>
    <w:rsid w:val="00CA2FAB"/>
    <w:rsid w:val="00CA3678"/>
    <w:rsid w:val="00CA48F6"/>
    <w:rsid w:val="00CA50A6"/>
    <w:rsid w:val="00CA5422"/>
    <w:rsid w:val="00CA7256"/>
    <w:rsid w:val="00CA7451"/>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257"/>
    <w:rsid w:val="00CD1A92"/>
    <w:rsid w:val="00CD1F55"/>
    <w:rsid w:val="00CD34F5"/>
    <w:rsid w:val="00CD6268"/>
    <w:rsid w:val="00CD69CD"/>
    <w:rsid w:val="00CD6ED2"/>
    <w:rsid w:val="00CE0A18"/>
    <w:rsid w:val="00CE106F"/>
    <w:rsid w:val="00CE1A22"/>
    <w:rsid w:val="00CE2307"/>
    <w:rsid w:val="00CE2781"/>
    <w:rsid w:val="00CE2EAA"/>
    <w:rsid w:val="00CE33DA"/>
    <w:rsid w:val="00CE3BE7"/>
    <w:rsid w:val="00CE3C10"/>
    <w:rsid w:val="00CE5D62"/>
    <w:rsid w:val="00CE6634"/>
    <w:rsid w:val="00CE6CBC"/>
    <w:rsid w:val="00CE6EDE"/>
    <w:rsid w:val="00CE7D2F"/>
    <w:rsid w:val="00CF0BD5"/>
    <w:rsid w:val="00CF141A"/>
    <w:rsid w:val="00CF1A7E"/>
    <w:rsid w:val="00CF493E"/>
    <w:rsid w:val="00CF5168"/>
    <w:rsid w:val="00CF5D6F"/>
    <w:rsid w:val="00CF6195"/>
    <w:rsid w:val="00CF62BB"/>
    <w:rsid w:val="00CF7357"/>
    <w:rsid w:val="00CF7811"/>
    <w:rsid w:val="00D0140B"/>
    <w:rsid w:val="00D020D2"/>
    <w:rsid w:val="00D0291E"/>
    <w:rsid w:val="00D02AAB"/>
    <w:rsid w:val="00D0459E"/>
    <w:rsid w:val="00D045B1"/>
    <w:rsid w:val="00D051A3"/>
    <w:rsid w:val="00D0592B"/>
    <w:rsid w:val="00D12684"/>
    <w:rsid w:val="00D129E1"/>
    <w:rsid w:val="00D13AF7"/>
    <w:rsid w:val="00D14BDC"/>
    <w:rsid w:val="00D1547D"/>
    <w:rsid w:val="00D15834"/>
    <w:rsid w:val="00D15D1D"/>
    <w:rsid w:val="00D17A3B"/>
    <w:rsid w:val="00D17B50"/>
    <w:rsid w:val="00D17D34"/>
    <w:rsid w:val="00D20A32"/>
    <w:rsid w:val="00D233A3"/>
    <w:rsid w:val="00D2389D"/>
    <w:rsid w:val="00D24B5B"/>
    <w:rsid w:val="00D24D2D"/>
    <w:rsid w:val="00D25335"/>
    <w:rsid w:val="00D25934"/>
    <w:rsid w:val="00D25C6F"/>
    <w:rsid w:val="00D2660D"/>
    <w:rsid w:val="00D30FC9"/>
    <w:rsid w:val="00D317C2"/>
    <w:rsid w:val="00D32033"/>
    <w:rsid w:val="00D322C4"/>
    <w:rsid w:val="00D32B0C"/>
    <w:rsid w:val="00D34B96"/>
    <w:rsid w:val="00D377E1"/>
    <w:rsid w:val="00D405E0"/>
    <w:rsid w:val="00D40C3D"/>
    <w:rsid w:val="00D413F6"/>
    <w:rsid w:val="00D41622"/>
    <w:rsid w:val="00D44952"/>
    <w:rsid w:val="00D44B56"/>
    <w:rsid w:val="00D45A5D"/>
    <w:rsid w:val="00D46BB2"/>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F12"/>
    <w:rsid w:val="00D6360C"/>
    <w:rsid w:val="00D63656"/>
    <w:rsid w:val="00D64714"/>
    <w:rsid w:val="00D64D79"/>
    <w:rsid w:val="00D65FC4"/>
    <w:rsid w:val="00D66BC4"/>
    <w:rsid w:val="00D66DB4"/>
    <w:rsid w:val="00D67393"/>
    <w:rsid w:val="00D67E08"/>
    <w:rsid w:val="00D7032C"/>
    <w:rsid w:val="00D7067B"/>
    <w:rsid w:val="00D712EC"/>
    <w:rsid w:val="00D7175C"/>
    <w:rsid w:val="00D72B2E"/>
    <w:rsid w:val="00D733BE"/>
    <w:rsid w:val="00D74B6B"/>
    <w:rsid w:val="00D760A8"/>
    <w:rsid w:val="00D76CB8"/>
    <w:rsid w:val="00D77A26"/>
    <w:rsid w:val="00D80C65"/>
    <w:rsid w:val="00D8200F"/>
    <w:rsid w:val="00D83C81"/>
    <w:rsid w:val="00D8495E"/>
    <w:rsid w:val="00D9074A"/>
    <w:rsid w:val="00D9097D"/>
    <w:rsid w:val="00D90DC9"/>
    <w:rsid w:val="00D9286E"/>
    <w:rsid w:val="00D92DE4"/>
    <w:rsid w:val="00D9417C"/>
    <w:rsid w:val="00D949C7"/>
    <w:rsid w:val="00D94E69"/>
    <w:rsid w:val="00D952E4"/>
    <w:rsid w:val="00D955D5"/>
    <w:rsid w:val="00D95B22"/>
    <w:rsid w:val="00DA0911"/>
    <w:rsid w:val="00DA32E6"/>
    <w:rsid w:val="00DA32F7"/>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2253"/>
    <w:rsid w:val="00DC324D"/>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400"/>
    <w:rsid w:val="00DF2797"/>
    <w:rsid w:val="00DF2A1A"/>
    <w:rsid w:val="00DF4239"/>
    <w:rsid w:val="00DF4704"/>
    <w:rsid w:val="00DF50E1"/>
    <w:rsid w:val="00DF55A4"/>
    <w:rsid w:val="00DF5C8D"/>
    <w:rsid w:val="00E0095F"/>
    <w:rsid w:val="00E00B2A"/>
    <w:rsid w:val="00E011B5"/>
    <w:rsid w:val="00E028EE"/>
    <w:rsid w:val="00E03A59"/>
    <w:rsid w:val="00E03A6C"/>
    <w:rsid w:val="00E03C1B"/>
    <w:rsid w:val="00E03C6D"/>
    <w:rsid w:val="00E03EB1"/>
    <w:rsid w:val="00E06433"/>
    <w:rsid w:val="00E07218"/>
    <w:rsid w:val="00E07313"/>
    <w:rsid w:val="00E10018"/>
    <w:rsid w:val="00E1080F"/>
    <w:rsid w:val="00E10F6B"/>
    <w:rsid w:val="00E119DC"/>
    <w:rsid w:val="00E12F74"/>
    <w:rsid w:val="00E139CA"/>
    <w:rsid w:val="00E15C46"/>
    <w:rsid w:val="00E16BCC"/>
    <w:rsid w:val="00E16F1D"/>
    <w:rsid w:val="00E1701B"/>
    <w:rsid w:val="00E214EB"/>
    <w:rsid w:val="00E21CFD"/>
    <w:rsid w:val="00E232BC"/>
    <w:rsid w:val="00E232DE"/>
    <w:rsid w:val="00E234D2"/>
    <w:rsid w:val="00E2756F"/>
    <w:rsid w:val="00E30D80"/>
    <w:rsid w:val="00E3131F"/>
    <w:rsid w:val="00E319C5"/>
    <w:rsid w:val="00E31B55"/>
    <w:rsid w:val="00E324CC"/>
    <w:rsid w:val="00E335DE"/>
    <w:rsid w:val="00E33DB6"/>
    <w:rsid w:val="00E34407"/>
    <w:rsid w:val="00E3467F"/>
    <w:rsid w:val="00E413B8"/>
    <w:rsid w:val="00E41CD1"/>
    <w:rsid w:val="00E42AC9"/>
    <w:rsid w:val="00E4440F"/>
    <w:rsid w:val="00E454D5"/>
    <w:rsid w:val="00E45BD3"/>
    <w:rsid w:val="00E473F9"/>
    <w:rsid w:val="00E47690"/>
    <w:rsid w:val="00E51340"/>
    <w:rsid w:val="00E513E4"/>
    <w:rsid w:val="00E51D63"/>
    <w:rsid w:val="00E52089"/>
    <w:rsid w:val="00E52205"/>
    <w:rsid w:val="00E52910"/>
    <w:rsid w:val="00E529B1"/>
    <w:rsid w:val="00E54B20"/>
    <w:rsid w:val="00E54D81"/>
    <w:rsid w:val="00E574B5"/>
    <w:rsid w:val="00E57526"/>
    <w:rsid w:val="00E60A27"/>
    <w:rsid w:val="00E61597"/>
    <w:rsid w:val="00E61802"/>
    <w:rsid w:val="00E62B3B"/>
    <w:rsid w:val="00E643A6"/>
    <w:rsid w:val="00E655FF"/>
    <w:rsid w:val="00E65E14"/>
    <w:rsid w:val="00E66FEF"/>
    <w:rsid w:val="00E673C4"/>
    <w:rsid w:val="00E67D48"/>
    <w:rsid w:val="00E71C79"/>
    <w:rsid w:val="00E725F7"/>
    <w:rsid w:val="00E7320C"/>
    <w:rsid w:val="00E7382B"/>
    <w:rsid w:val="00E73AA2"/>
    <w:rsid w:val="00E7471C"/>
    <w:rsid w:val="00E7553B"/>
    <w:rsid w:val="00E75864"/>
    <w:rsid w:val="00E76737"/>
    <w:rsid w:val="00E7773E"/>
    <w:rsid w:val="00E80FB6"/>
    <w:rsid w:val="00E81843"/>
    <w:rsid w:val="00E82653"/>
    <w:rsid w:val="00E836AC"/>
    <w:rsid w:val="00E84310"/>
    <w:rsid w:val="00E849D4"/>
    <w:rsid w:val="00E855A7"/>
    <w:rsid w:val="00E85C54"/>
    <w:rsid w:val="00E86828"/>
    <w:rsid w:val="00E86925"/>
    <w:rsid w:val="00E86C26"/>
    <w:rsid w:val="00E86E33"/>
    <w:rsid w:val="00E87423"/>
    <w:rsid w:val="00E901C9"/>
    <w:rsid w:val="00E90BAD"/>
    <w:rsid w:val="00E91C6C"/>
    <w:rsid w:val="00E922A3"/>
    <w:rsid w:val="00E94174"/>
    <w:rsid w:val="00E96FDD"/>
    <w:rsid w:val="00E9713D"/>
    <w:rsid w:val="00E973A9"/>
    <w:rsid w:val="00EA0279"/>
    <w:rsid w:val="00EA1FBE"/>
    <w:rsid w:val="00EA251F"/>
    <w:rsid w:val="00EA32CC"/>
    <w:rsid w:val="00EA3C06"/>
    <w:rsid w:val="00EA6667"/>
    <w:rsid w:val="00EA6D06"/>
    <w:rsid w:val="00EB08DC"/>
    <w:rsid w:val="00EB0C8A"/>
    <w:rsid w:val="00EB38BB"/>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7A9"/>
    <w:rsid w:val="00ED1C65"/>
    <w:rsid w:val="00ED2080"/>
    <w:rsid w:val="00ED58D4"/>
    <w:rsid w:val="00ED5D30"/>
    <w:rsid w:val="00ED7413"/>
    <w:rsid w:val="00ED7753"/>
    <w:rsid w:val="00ED776D"/>
    <w:rsid w:val="00EE0365"/>
    <w:rsid w:val="00EE12ED"/>
    <w:rsid w:val="00EE1449"/>
    <w:rsid w:val="00EE1A42"/>
    <w:rsid w:val="00EE21FF"/>
    <w:rsid w:val="00EE39D6"/>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10B16"/>
    <w:rsid w:val="00F12DAD"/>
    <w:rsid w:val="00F136F7"/>
    <w:rsid w:val="00F1450A"/>
    <w:rsid w:val="00F15201"/>
    <w:rsid w:val="00F15345"/>
    <w:rsid w:val="00F207D5"/>
    <w:rsid w:val="00F20A47"/>
    <w:rsid w:val="00F20F18"/>
    <w:rsid w:val="00F215A3"/>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F4"/>
    <w:rsid w:val="00F61B0C"/>
    <w:rsid w:val="00F62F5E"/>
    <w:rsid w:val="00F63694"/>
    <w:rsid w:val="00F63C33"/>
    <w:rsid w:val="00F646A7"/>
    <w:rsid w:val="00F64EDF"/>
    <w:rsid w:val="00F66CAE"/>
    <w:rsid w:val="00F67AA6"/>
    <w:rsid w:val="00F7148A"/>
    <w:rsid w:val="00F717A0"/>
    <w:rsid w:val="00F72697"/>
    <w:rsid w:val="00F73D02"/>
    <w:rsid w:val="00F75BCF"/>
    <w:rsid w:val="00F75C77"/>
    <w:rsid w:val="00F767E5"/>
    <w:rsid w:val="00F7725B"/>
    <w:rsid w:val="00F77268"/>
    <w:rsid w:val="00F80276"/>
    <w:rsid w:val="00F8086D"/>
    <w:rsid w:val="00F80DBD"/>
    <w:rsid w:val="00F80E9D"/>
    <w:rsid w:val="00F81236"/>
    <w:rsid w:val="00F824CF"/>
    <w:rsid w:val="00F82F6D"/>
    <w:rsid w:val="00F834DD"/>
    <w:rsid w:val="00F84699"/>
    <w:rsid w:val="00F84919"/>
    <w:rsid w:val="00F84C75"/>
    <w:rsid w:val="00F858AF"/>
    <w:rsid w:val="00F86253"/>
    <w:rsid w:val="00F868E5"/>
    <w:rsid w:val="00F9063E"/>
    <w:rsid w:val="00F90AD2"/>
    <w:rsid w:val="00F91E87"/>
    <w:rsid w:val="00F922C3"/>
    <w:rsid w:val="00F930E2"/>
    <w:rsid w:val="00F942F0"/>
    <w:rsid w:val="00F943F2"/>
    <w:rsid w:val="00F9512C"/>
    <w:rsid w:val="00F963F3"/>
    <w:rsid w:val="00F96A52"/>
    <w:rsid w:val="00F96B99"/>
    <w:rsid w:val="00F97194"/>
    <w:rsid w:val="00FA1699"/>
    <w:rsid w:val="00FA1A26"/>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209"/>
    <w:rsid w:val="00FB2853"/>
    <w:rsid w:val="00FB38EB"/>
    <w:rsid w:val="00FB3D40"/>
    <w:rsid w:val="00FB3FF4"/>
    <w:rsid w:val="00FB4E84"/>
    <w:rsid w:val="00FB575F"/>
    <w:rsid w:val="00FB5E19"/>
    <w:rsid w:val="00FB6132"/>
    <w:rsid w:val="00FB7F73"/>
    <w:rsid w:val="00FC09B6"/>
    <w:rsid w:val="00FC0A27"/>
    <w:rsid w:val="00FC283B"/>
    <w:rsid w:val="00FC29D1"/>
    <w:rsid w:val="00FC3AB6"/>
    <w:rsid w:val="00FC46CF"/>
    <w:rsid w:val="00FC4959"/>
    <w:rsid w:val="00FC4A5F"/>
    <w:rsid w:val="00FC4E0F"/>
    <w:rsid w:val="00FC4EA1"/>
    <w:rsid w:val="00FC4F55"/>
    <w:rsid w:val="00FC7619"/>
    <w:rsid w:val="00FC7805"/>
    <w:rsid w:val="00FC7ABA"/>
    <w:rsid w:val="00FD09D6"/>
    <w:rsid w:val="00FD1CA6"/>
    <w:rsid w:val="00FD24DB"/>
    <w:rsid w:val="00FD2A85"/>
    <w:rsid w:val="00FD2EF1"/>
    <w:rsid w:val="00FD41F9"/>
    <w:rsid w:val="00FD46A2"/>
    <w:rsid w:val="00FD52EB"/>
    <w:rsid w:val="00FD7726"/>
    <w:rsid w:val="00FE1066"/>
    <w:rsid w:val="00FE174A"/>
    <w:rsid w:val="00FE197B"/>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456E5"/>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link w:val="3Char"/>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link w:val="Char0"/>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1"/>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1">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Char0">
    <w:name w:val="批注文字 Char"/>
    <w:link w:val="af"/>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9">
    <w:name w:val="Body Text"/>
    <w:basedOn w:val="a2"/>
    <w:link w:val="Char2"/>
    <w:qFormat/>
    <w:rsid w:val="007E54F1"/>
    <w:pPr>
      <w:spacing w:after="0"/>
    </w:pPr>
    <w:rPr>
      <w:rFonts w:ascii="Arial" w:eastAsia="宋体" w:hAnsi="Arial" w:cs="Arial"/>
      <w:color w:val="FF0000"/>
    </w:rPr>
  </w:style>
  <w:style w:type="character" w:customStyle="1" w:styleId="Char2">
    <w:name w:val="正文文本 Char"/>
    <w:basedOn w:val="a3"/>
    <w:link w:val="af9"/>
    <w:qFormat/>
    <w:rsid w:val="007E54F1"/>
    <w:rPr>
      <w:rFonts w:ascii="Arial" w:eastAsia="宋体" w:hAnsi="Arial" w:cs="Arial"/>
      <w:color w:val="FF0000"/>
      <w:lang w:val="en-GB"/>
    </w:rPr>
  </w:style>
  <w:style w:type="paragraph" w:customStyle="1" w:styleId="Agreement">
    <w:name w:val="Agreement"/>
    <w:basedOn w:val="a2"/>
    <w:next w:val="a2"/>
    <w:uiPriority w:val="99"/>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a">
    <w:name w:val="List Paragraph"/>
    <w:aliases w:val="- Bullets,?? ??,?????,????,Lista1,中等深浅网格 1 - 着色 21,列表段落,¥¡¡¡¡ì¬º¥¹¥È¶ÎÂä,ÁÐ³ö¶ÎÂä,¥ê¥¹¥È¶ÎÂä,列表段落1,—ño’i—Ž,1st level - Bullet List Paragraph,Lettre d'introduction,Paragrafo elenco,Normal bullet 2,Bullet list,列表段落11,목록단락,Task Body,列,목록 단락"/>
    <w:basedOn w:val="a2"/>
    <w:link w:val="Char3"/>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Char3">
    <w:name w:val="列出段落 Char"/>
    <w:aliases w:val="- Bullets Char,?? ?? Char,????? Char,???? Char,Lista1 Char,中等深浅网格 1 - 着色 21 Char,列表段落 Char,¥¡¡¡¡ì¬º¥¹¥È¶ÎÂä Char,ÁÐ³ö¶ÎÂä Char,¥ê¥¹¥È¶ÎÂä Char,列表段落1 Char,—ño’i—Ž Char,1st level - Bullet List Paragraph Char,Lettre d'introduction Char,목록단락 Char"/>
    <w:link w:val="afa"/>
    <w:uiPriority w:val="34"/>
    <w:qFormat/>
    <w:locked/>
    <w:rsid w:val="00BA6EF1"/>
    <w:rPr>
      <w:rFonts w:eastAsia="Times New Roman"/>
      <w:lang w:val="en-GB"/>
    </w:rPr>
  </w:style>
  <w:style w:type="character" w:styleId="afb">
    <w:name w:val="Emphasis"/>
    <w:qFormat/>
    <w:rsid w:val="00E011B5"/>
    <w:rPr>
      <w:i/>
    </w:rPr>
  </w:style>
  <w:style w:type="character" w:customStyle="1" w:styleId="msoins0">
    <w:name w:val="msoins"/>
    <w:basedOn w:val="a3"/>
    <w:rsid w:val="009D53E9"/>
  </w:style>
  <w:style w:type="paragraph" w:customStyle="1" w:styleId="14">
    <w:name w:val="列出段落1"/>
    <w:basedOn w:val="a2"/>
    <w:rsid w:val="009F3EBC"/>
    <w:pPr>
      <w:spacing w:before="100" w:beforeAutospacing="1"/>
      <w:ind w:left="720"/>
      <w:contextualSpacing/>
    </w:pPr>
    <w:rPr>
      <w:rFonts w:eastAsia="宋体"/>
      <w:sz w:val="24"/>
      <w:szCs w:val="24"/>
      <w:lang w:val="en-US" w:eastAsia="zh-CN"/>
    </w:rPr>
  </w:style>
  <w:style w:type="paragraph" w:styleId="afc">
    <w:name w:val="Normal (Web)"/>
    <w:basedOn w:val="a2"/>
    <w:uiPriority w:val="99"/>
    <w:unhideWhenUsed/>
    <w:rsid w:val="00D17A3B"/>
    <w:pPr>
      <w:spacing w:before="100" w:beforeAutospacing="1" w:after="100" w:afterAutospacing="1" w:line="276" w:lineRule="auto"/>
    </w:pPr>
    <w:rPr>
      <w:rFonts w:ascii="Calibri" w:eastAsia="Calibri" w:hAnsi="Calibri"/>
      <w:sz w:val="24"/>
      <w:szCs w:val="22"/>
      <w:lang w:val="en-US" w:eastAsia="zh-CN"/>
    </w:rPr>
  </w:style>
  <w:style w:type="character" w:customStyle="1" w:styleId="4Char">
    <w:name w:val="标题 4 Char"/>
    <w:link w:val="41"/>
    <w:rsid w:val="00195B63"/>
    <w:rPr>
      <w:rFonts w:ascii="Arial" w:eastAsia="Times New Roman" w:hAnsi="Arial"/>
      <w:sz w:val="24"/>
      <w:lang w:val="en-GB"/>
    </w:rPr>
  </w:style>
  <w:style w:type="character" w:customStyle="1" w:styleId="3Char">
    <w:name w:val="标题 3 Char"/>
    <w:link w:val="3"/>
    <w:rsid w:val="00195B63"/>
    <w:rPr>
      <w:rFonts w:ascii="Arial" w:eastAsia="Times New Roman"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ED7798-DDE3-4F2B-8D30-F138A58FF4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TotalTime>
  <Pages>4</Pages>
  <Words>1677</Words>
  <Characters>9563</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11218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6</cp:revision>
  <cp:lastPrinted>2009-04-22T07:01:00Z</cp:lastPrinted>
  <dcterms:created xsi:type="dcterms:W3CDTF">2022-02-08T03:31:00Z</dcterms:created>
  <dcterms:modified xsi:type="dcterms:W3CDTF">2022-02-11T04:10:00Z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(3)w1kczdM3e1QnjqCb/h0Yct8Iw8ac6bmsr7DQlyPXcaMH59a6EPdNN/dS808KQrSU+r2tqx7L
Dm8P7fycdyBTBNvZZLfHQDj7tXlNtf1OfHBrhEXTR8ikCmmtXk++NEufsxpbZLusFBxRPiVh
W10sLwOj2YpYn2escqd1syWFSmPghlu1tzNqBGUAfKZdk4pg6YqNVMoh5T3DuiNkZ3VYAuYX
jicD2SsSf5rtWpR7Ps</vt:lpwstr>
  </property>
  <property fmtid="{D5CDD505-2E9C-101B-9397-08002B2CF9AE}" pid="17" name="_2015_ms_pID_7253431">
    <vt:lpwstr>P7tBOqQ5RtoelsVWZbrBgYFggH1lPMpFsWchcQAowqvpjmKrF1DjSU
wMIWjupJHEn1hFTGSg7xvzDJAiRjGyWMGBbdqu9DI1Ck4z/I76H6qDQTEOj5pmo09PkVLzcw
fuZhDDrZQNOQMcBwqPPXbq+yHXPPLEUHePTFhZcLlmZdZsEa2A2LGeD5O/W20HFSOfcgiME/
yXR+HZbTDkELv3RawLD9r4GglcLrs1qQhQ9J</vt:lpwstr>
  </property>
  <property fmtid="{D5CDD505-2E9C-101B-9397-08002B2CF9AE}" pid="18" name="_2015_ms_pID_7253432">
    <vt:lpwstr>H39aAnYblme/RMtQRA+pMAc=</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1644552520</vt:lpwstr>
  </property>
</Properties>
</file>